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rsidR="0014394D" w:rsidRPr="0014394D" w:rsidRDefault="0014394D" w:rsidP="0014394D">
      <w:pPr>
        <w:pStyle w:val="a3"/>
        <w:spacing w:line="276" w:lineRule="auto"/>
        <w:jc w:val="center"/>
        <w:rPr>
          <w:rFonts w:ascii="Sylfaen" w:hAnsi="Sylfaen"/>
          <w:i w:val="0"/>
          <w:lang w:val="hy-AM"/>
        </w:rPr>
      </w:pP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C13033">
        <w:rPr>
          <w:rFonts w:ascii="Sylfaen" w:hAnsi="Sylfaen"/>
          <w:i w:val="0"/>
          <w:lang w:val="en-US"/>
        </w:rPr>
        <w:t xml:space="preserve"> October </w:t>
      </w:r>
      <w:r w:rsidR="007E7DC6">
        <w:rPr>
          <w:rFonts w:ascii="Sylfaen" w:hAnsi="Sylfaen"/>
          <w:i w:val="0"/>
          <w:lang w:val="en-US"/>
        </w:rPr>
        <w:t>27</w:t>
      </w:r>
      <w:r w:rsidRPr="0014394D">
        <w:rPr>
          <w:rFonts w:ascii="Sylfaen" w:hAnsi="Sylfaen"/>
          <w:i w:val="0"/>
          <w:lang w:val="hy-AM"/>
        </w:rPr>
        <w:t>, 202</w:t>
      </w:r>
      <w:r w:rsidR="00C13033">
        <w:rPr>
          <w:rFonts w:ascii="Sylfaen" w:hAnsi="Sylfaen"/>
          <w:i w:val="0"/>
          <w:lang w:val="en-US"/>
        </w:rPr>
        <w:t>3</w:t>
      </w:r>
      <w:r w:rsidRPr="0014394D">
        <w:rPr>
          <w:rFonts w:ascii="Sylfaen" w:hAnsi="Sylfaen"/>
          <w:i w:val="0"/>
          <w:lang w:val="hy-AM"/>
        </w:rPr>
        <w:t xml:space="preserve"> and published</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rsidR="0014394D" w:rsidRPr="0014394D" w:rsidRDefault="0014394D" w:rsidP="0014394D">
      <w:pPr>
        <w:pStyle w:val="a3"/>
        <w:spacing w:line="276" w:lineRule="auto"/>
        <w:jc w:val="center"/>
        <w:rPr>
          <w:rFonts w:ascii="Sylfaen" w:hAnsi="Sylfaen"/>
          <w:i w:val="0"/>
          <w:lang w:val="hy-AM"/>
        </w:rPr>
      </w:pPr>
    </w:p>
    <w:p w:rsidR="0006072E" w:rsidRPr="0014394D" w:rsidRDefault="0014394D" w:rsidP="0014394D">
      <w:pPr>
        <w:pStyle w:val="a3"/>
        <w:spacing w:line="276" w:lineRule="auto"/>
        <w:jc w:val="center"/>
        <w:rPr>
          <w:rFonts w:ascii="Sylfaen" w:hAnsi="Sylfaen"/>
          <w:i w:val="0"/>
          <w:lang w:val="af-ZA"/>
        </w:rPr>
      </w:pPr>
      <w:r w:rsidRPr="0014394D">
        <w:rPr>
          <w:rFonts w:ascii="Sylfaen" w:hAnsi="Sylfaen"/>
          <w:i w:val="0"/>
          <w:lang w:val="hy-AM"/>
        </w:rPr>
        <w:t xml:space="preserve">Procedure code: </w:t>
      </w:r>
      <w:r w:rsidR="007E7DC6">
        <w:rPr>
          <w:rFonts w:ascii="Sylfaen" w:hAnsi="Sylfaen"/>
          <w:i w:val="0"/>
          <w:lang w:val="hy-AM"/>
        </w:rPr>
        <w:t>HH-BC-A-BMXCDZB-23/138</w:t>
      </w:r>
    </w:p>
    <w:p w:rsidR="0006072E" w:rsidRPr="0014394D" w:rsidRDefault="0006072E" w:rsidP="0006072E">
      <w:pPr>
        <w:pStyle w:val="a3"/>
        <w:spacing w:line="240" w:lineRule="auto"/>
        <w:ind w:firstLine="708"/>
        <w:jc w:val="left"/>
        <w:rPr>
          <w:rFonts w:ascii="Sylfaen" w:hAnsi="Sylfaen"/>
          <w:b/>
          <w:i w:val="0"/>
          <w:lang w:val="af-ZA"/>
        </w:rPr>
      </w:pPr>
    </w:p>
    <w:p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rsidR="0006072E" w:rsidRPr="0014394D" w:rsidRDefault="0006072E" w:rsidP="0014394D">
      <w:pPr>
        <w:pStyle w:val="a3"/>
        <w:spacing w:line="240" w:lineRule="auto"/>
        <w:ind w:firstLine="708"/>
        <w:jc w:val="center"/>
        <w:rPr>
          <w:rFonts w:ascii="Sylfaen" w:hAnsi="Sylfaen"/>
          <w:i w:val="0"/>
          <w:lang w:val="af-ZA"/>
        </w:rPr>
      </w:pPr>
    </w:p>
    <w:p w:rsidR="00626C7F" w:rsidRPr="0014394D" w:rsidRDefault="0014394D" w:rsidP="00626C7F">
      <w:pPr>
        <w:pStyle w:val="a3"/>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Yerevan,Armenakyan 129.</w:t>
      </w:r>
      <w:r w:rsidRPr="0014394D">
        <w:rPr>
          <w:rFonts w:ascii="Sylfaen" w:hAnsi="Sylfaen"/>
          <w:i w:val="0"/>
          <w:lang w:val="af-ZA"/>
        </w:rPr>
        <w:t xml:space="preserve"> In order to purchase consulting services for monitoring energy use in buildings of the UNDP-</w:t>
      </w:r>
      <w:r w:rsidR="00E81D33">
        <w:rPr>
          <w:rFonts w:ascii="Sylfaen" w:hAnsi="Sylfaen"/>
          <w:i w:val="0"/>
          <w:lang w:val="en-US"/>
        </w:rPr>
        <w:t>GCF</w:t>
      </w:r>
      <w:r w:rsidRPr="0014394D">
        <w:rPr>
          <w:rFonts w:ascii="Sylfaen" w:hAnsi="Sylfaen"/>
          <w:i w:val="0"/>
          <w:lang w:val="af-ZA"/>
        </w:rPr>
        <w:t xml:space="preserve">/00098348 project </w:t>
      </w:r>
      <w:r w:rsidR="00104F97" w:rsidRPr="0014394D">
        <w:rPr>
          <w:rFonts w:ascii="Sylfaen" w:hAnsi="Sylfaen"/>
          <w:i w:val="0"/>
          <w:lang w:val="af-ZA"/>
        </w:rPr>
        <w:t>"</w:t>
      </w:r>
      <w:r w:rsidR="00104F97" w:rsidRPr="00104F97">
        <w:t xml:space="preserve"> </w:t>
      </w:r>
      <w:r w:rsidR="00104F97">
        <w:rPr>
          <w:rFonts w:ascii="Sylfaen" w:hAnsi="Sylfaen"/>
          <w:i w:val="0"/>
        </w:rPr>
        <w:t>C</w:t>
      </w:r>
      <w:r w:rsidR="00104F97" w:rsidRPr="00104F97">
        <w:rPr>
          <w:rFonts w:ascii="Sylfaen" w:hAnsi="Sylfaen"/>
          <w:i w:val="0"/>
          <w:lang w:val="af-ZA"/>
        </w:rPr>
        <w:t>omponent 1 of “de-risking and scaling-up investment in energy efficient building retrofits”</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rsidTr="00A62D3B">
        <w:trPr>
          <w:trHeight w:val="20"/>
          <w:jc w:val="center"/>
        </w:trPr>
        <w:tc>
          <w:tcPr>
            <w:tcW w:w="1931" w:type="dxa"/>
            <w:shd w:val="clear" w:color="auto" w:fill="auto"/>
            <w:noWrap/>
            <w:vAlign w:val="center"/>
          </w:tcPr>
          <w:p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4E55A0" w:rsidRPr="00E81D33" w:rsidTr="00A62D3B">
        <w:trPr>
          <w:trHeight w:val="20"/>
          <w:jc w:val="center"/>
        </w:trPr>
        <w:tc>
          <w:tcPr>
            <w:tcW w:w="1931" w:type="dxa"/>
            <w:shd w:val="clear" w:color="auto" w:fill="auto"/>
            <w:noWrap/>
            <w:vAlign w:val="center"/>
            <w:hideMark/>
          </w:tcPr>
          <w:p w:rsidR="0006072E" w:rsidRPr="00E81D33" w:rsidRDefault="00E81D33" w:rsidP="00A62D3B">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w:t>
            </w:r>
            <w:r w:rsidR="0006072E" w:rsidRPr="0014394D">
              <w:rPr>
                <w:rFonts w:ascii="Sylfaen" w:hAnsi="Sylfaen" w:cs="Calibri"/>
                <w:sz w:val="20"/>
                <w:szCs w:val="20"/>
              </w:rPr>
              <w:t>1</w:t>
            </w:r>
          </w:p>
        </w:tc>
        <w:tc>
          <w:tcPr>
            <w:tcW w:w="8784" w:type="dxa"/>
            <w:shd w:val="clear" w:color="auto" w:fill="auto"/>
            <w:vAlign w:val="center"/>
            <w:hideMark/>
          </w:tcPr>
          <w:p w:rsidR="0006072E" w:rsidRPr="0014394D" w:rsidRDefault="007E7DC6" w:rsidP="00F02A4F">
            <w:pPr>
              <w:ind w:left="-115" w:firstLine="245"/>
              <w:jc w:val="center"/>
              <w:rPr>
                <w:rFonts w:ascii="Sylfaen" w:hAnsi="Sylfaen"/>
                <w:sz w:val="20"/>
                <w:lang w:val="hy-AM"/>
              </w:rPr>
            </w:pPr>
            <w:r w:rsidRPr="007E7DC6">
              <w:rPr>
                <w:rFonts w:ascii="Sylfaen" w:hAnsi="Sylfaen" w:cs="Sylfaen"/>
                <w:color w:val="000000" w:themeColor="text1"/>
                <w:sz w:val="20"/>
                <w:lang w:val="hy-AM"/>
              </w:rPr>
              <w:t>Purchasing consulting services for website maintenance and development</w:t>
            </w:r>
          </w:p>
        </w:tc>
      </w:tr>
    </w:tbl>
    <w:p w:rsidR="004E55A0" w:rsidRPr="00F02A4F" w:rsidRDefault="004E55A0" w:rsidP="004E55A0">
      <w:pPr>
        <w:spacing w:after="160" w:line="256" w:lineRule="auto"/>
        <w:ind w:left="360"/>
        <w:contextualSpacing/>
        <w:jc w:val="center"/>
        <w:rPr>
          <w:rFonts w:ascii="Sylfaen" w:hAnsi="Sylfaen"/>
          <w:b/>
          <w:bCs/>
        </w:rPr>
      </w:pPr>
    </w:p>
    <w:p w:rsidR="0052273D" w:rsidRPr="0052273D" w:rsidRDefault="001D1533" w:rsidP="0052273D">
      <w:pPr>
        <w:spacing w:line="360" w:lineRule="auto"/>
        <w:jc w:val="center"/>
        <w:rPr>
          <w:rFonts w:ascii="Sylfaen" w:hAnsi="Sylfaen"/>
          <w:b/>
          <w:bCs/>
          <w:color w:val="000000" w:themeColor="text1"/>
          <w:lang w:val="hy-AM"/>
        </w:rPr>
      </w:pPr>
      <w:r w:rsidRPr="0014394D">
        <w:rPr>
          <w:rFonts w:ascii="Sylfaen" w:hAnsi="Sylfaen"/>
          <w:b/>
          <w:bCs/>
          <w:color w:val="000000" w:themeColor="text1"/>
          <w:lang w:val="hy-AM"/>
        </w:rPr>
        <w:t>1</w:t>
      </w:r>
      <w:r w:rsidRPr="0014394D">
        <w:rPr>
          <w:b/>
          <w:bCs/>
          <w:color w:val="000000" w:themeColor="text1"/>
          <w:lang w:val="hy-AM"/>
        </w:rPr>
        <w:t>․</w:t>
      </w:r>
      <w:r w:rsidRPr="0014394D">
        <w:rPr>
          <w:rFonts w:ascii="Sylfaen" w:hAnsi="Sylfaen"/>
          <w:b/>
          <w:bCs/>
          <w:color w:val="000000" w:themeColor="text1"/>
          <w:lang w:val="hy-AM"/>
        </w:rPr>
        <w:t xml:space="preserve"> </w:t>
      </w:r>
      <w:r w:rsidR="0052273D" w:rsidRPr="0052273D">
        <w:rPr>
          <w:rFonts w:ascii="Sylfaen" w:hAnsi="Sylfaen"/>
          <w:b/>
          <w:bCs/>
          <w:color w:val="000000" w:themeColor="text1"/>
          <w:lang w:val="hy-AM"/>
        </w:rPr>
        <w:t>BACKGROUND AND CONTEXT OF THE PROGRAM</w:t>
      </w:r>
    </w:p>
    <w:p w:rsidR="0052273D" w:rsidRPr="0052273D" w:rsidRDefault="0052273D" w:rsidP="0052273D">
      <w:pPr>
        <w:spacing w:line="360" w:lineRule="auto"/>
        <w:jc w:val="both"/>
        <w:rPr>
          <w:rFonts w:ascii="Sylfaen" w:hAnsi="Sylfaen"/>
          <w:bCs/>
          <w:color w:val="000000" w:themeColor="text1"/>
          <w:lang w:val="hy-AM"/>
        </w:rPr>
      </w:pPr>
      <w:r w:rsidRPr="0052273D">
        <w:rPr>
          <w:rFonts w:ascii="Sylfaen" w:hAnsi="Sylfaen"/>
          <w:bCs/>
          <w:color w:val="000000" w:themeColor="text1"/>
          <w:lang w:val="hy-AM"/>
        </w:rPr>
        <w:t xml:space="preserve">The State </w:t>
      </w:r>
      <w:r>
        <w:rPr>
          <w:rFonts w:ascii="Sylfaen" w:hAnsi="Sylfaen"/>
          <w:bCs/>
          <w:color w:val="000000" w:themeColor="text1"/>
        </w:rPr>
        <w:t xml:space="preserve">Agancy </w:t>
      </w:r>
      <w:r w:rsidRPr="0052273D">
        <w:rPr>
          <w:rFonts w:ascii="Sylfaen" w:hAnsi="Sylfaen"/>
          <w:bCs/>
          <w:color w:val="000000" w:themeColor="text1"/>
          <w:lang w:val="hy-AM"/>
        </w:rPr>
        <w:t xml:space="preserve">"Environmental Program Implementation </w:t>
      </w:r>
      <w:r>
        <w:rPr>
          <w:rFonts w:ascii="Sylfaen" w:hAnsi="Sylfaen"/>
          <w:bCs/>
          <w:color w:val="000000" w:themeColor="text1"/>
        </w:rPr>
        <w:t>Unit</w:t>
      </w:r>
      <w:r w:rsidRPr="0052273D">
        <w:rPr>
          <w:rFonts w:ascii="Sylfaen" w:hAnsi="Sylfaen"/>
          <w:bCs/>
          <w:color w:val="000000" w:themeColor="text1"/>
          <w:lang w:val="hy-AM"/>
        </w:rPr>
        <w:t>" of the Ministry of Environment of RA  is a partner in the implementation of Component 1 of the UNDP-</w:t>
      </w:r>
      <w:r w:rsidR="00E81D33">
        <w:rPr>
          <w:rFonts w:ascii="Sylfaen" w:hAnsi="Sylfaen"/>
          <w:bCs/>
          <w:color w:val="000000" w:themeColor="text1"/>
        </w:rPr>
        <w:t>GCF</w:t>
      </w:r>
      <w:r w:rsidRPr="0052273D">
        <w:rPr>
          <w:rFonts w:ascii="Sylfaen" w:hAnsi="Sylfaen"/>
          <w:bCs/>
          <w:color w:val="000000" w:themeColor="text1"/>
          <w:lang w:val="hy-AM"/>
        </w:rPr>
        <w:t xml:space="preserve">/00098348 program </w:t>
      </w:r>
      <w:r w:rsidR="00104F97" w:rsidRPr="00104F97">
        <w:rPr>
          <w:rFonts w:ascii="Sylfaen" w:hAnsi="Sylfaen"/>
          <w:bCs/>
          <w:color w:val="000000" w:themeColor="text1"/>
          <w:lang w:val="hy-AM"/>
        </w:rPr>
        <w:t>component 1 of “de-risking and scaling-up investment in energy efficient building retrofits”</w:t>
      </w:r>
    </w:p>
    <w:p w:rsidR="0052273D" w:rsidRPr="0052273D" w:rsidRDefault="0052273D" w:rsidP="0052273D">
      <w:pPr>
        <w:spacing w:line="360" w:lineRule="auto"/>
        <w:jc w:val="both"/>
        <w:rPr>
          <w:rFonts w:ascii="Sylfaen" w:hAnsi="Sylfaen"/>
          <w:bCs/>
          <w:color w:val="000000" w:themeColor="text1"/>
          <w:lang w:val="hy-AM"/>
        </w:rPr>
      </w:pPr>
      <w:r w:rsidRPr="0052273D">
        <w:rPr>
          <w:rFonts w:ascii="Sylfaen" w:hAnsi="Sylfaen"/>
          <w:bCs/>
          <w:color w:val="000000" w:themeColor="text1"/>
          <w:lang w:val="hy-AM"/>
        </w:rPr>
        <w:t>The Green Climate Fund (GCF)-funded "</w:t>
      </w:r>
      <w:r w:rsidR="0006300B" w:rsidRPr="0006300B">
        <w:rPr>
          <w:rFonts w:ascii="Sylfaen" w:hAnsi="Sylfaen"/>
          <w:bCs/>
          <w:color w:val="000000" w:themeColor="text1"/>
          <w:lang w:val="hy-AM"/>
        </w:rPr>
        <w:t>De-Risking and Scaling-up Investment in Energy Efficient Building Retrofits</w:t>
      </w:r>
      <w:r w:rsidRPr="0052273D">
        <w:rPr>
          <w:rFonts w:ascii="Sylfaen" w:hAnsi="Sylfaen"/>
          <w:bCs/>
          <w:color w:val="000000" w:themeColor="text1"/>
          <w:lang w:val="hy-AM"/>
        </w:rPr>
        <w:t xml:space="preserve"> Project aims to systematically reduce greenhouse gas (GHG) emissions from the existing building stock in Armenia and thereby ensure the benefits of sustainable development. To accomplish this, the Program focuses on reducing the overall risks of energy efficient (EE) modernization investments in buildings, as the main energy consuming sector in RA.</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bCs/>
          <w:color w:val="000000" w:themeColor="text1"/>
          <w:lang w:val="hy-AM"/>
        </w:rPr>
        <w:t>Creating an enabling market environment and scalable business model for investment in renewable energy will lead to significant energy savings, GHG emissions reductions, green job creation and poverty reduction. The program will overcome the market barriers facing building EE retrofits through a combination of policy and financial risk mitigation tools and targeted financial incentives for key market players.</w:t>
      </w:r>
      <w:r w:rsidRPr="0052273D">
        <w:t xml:space="preserve"> </w:t>
      </w:r>
      <w:r w:rsidRPr="0052273D">
        <w:rPr>
          <w:rFonts w:ascii="Sylfaen" w:hAnsi="Sylfaen"/>
          <w:sz w:val="22"/>
          <w:szCs w:val="22"/>
          <w:lang w:val="hy-AM"/>
        </w:rPr>
        <w:t>By targeting policy, financial, market, technical and capacity barriers, the Program will significantly reduce the risks of investments in building EE retrofits and encourage private sector investment, thereby scaling investments in building EE retrofits in the country.</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Approaches to solving the problems of each specific area of risk are included in the four components of the Program: Building Measurement, Accountability and Certification (MAC) system and knowledge management, policy risk mitigation, financial risk mitigation and financial benefits.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 xml:space="preserve">The project will support the development of guidelines and methodology based on UNDP's experience in building an ERM framework, including Energy Management Information Systems (EMIS) in the building sector. By </w:t>
      </w:r>
      <w:r w:rsidRPr="0052273D">
        <w:rPr>
          <w:rFonts w:ascii="Sylfaen" w:hAnsi="Sylfaen"/>
          <w:sz w:val="22"/>
          <w:szCs w:val="22"/>
          <w:lang w:val="hy-AM"/>
        </w:rPr>
        <w:lastRenderedPageBreak/>
        <w:t>encouraging more dissemination of information and sharing of lessons learned among beneficiaries, the Program will also support knowledge acquisition and collective learning processes in Armenia.</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Purpose of the task</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The creation of the CEC system in the field of buildings and the establishment of the Community Energy Management System (CEC) are implemented as a component of the creation and implementation of the CEC country's internal system. It will also contribute to the implementation of sustainable energy plans in RA communities, the establishment of a monitoring system of energy consumption in public buildings, the storage of collected data in the EHS, the evaluation of the priority of EE measures and the resulting evaluation of energy savings and GHG emission reductions.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The goal of the task is to create a strong CRC for the building sector, which will enable monitoring of energy use in buildings and create a history of investments in EE modernization of buildings.</w:t>
      </w:r>
    </w:p>
    <w:p w:rsidR="0052273D" w:rsidRPr="0052273D" w:rsidRDefault="0052273D" w:rsidP="0052273D">
      <w:pPr>
        <w:spacing w:line="360" w:lineRule="auto"/>
        <w:jc w:val="both"/>
        <w:rPr>
          <w:rFonts w:ascii="Sylfaen" w:hAnsi="Sylfaen"/>
          <w:sz w:val="22"/>
          <w:szCs w:val="22"/>
          <w:lang w:val="hy-AM"/>
        </w:rPr>
      </w:pPr>
      <w:r w:rsidRPr="0052273D">
        <w:rPr>
          <w:rFonts w:ascii="Sylfaen" w:hAnsi="Sylfaen"/>
          <w:sz w:val="22"/>
          <w:szCs w:val="22"/>
          <w:lang w:val="hy-AM"/>
        </w:rPr>
        <w:t>Through a platform/website, the project will provide potential borrowers (including commercial banks) with information on the cost savings potential of EE modernization and integration of RE sources.</w:t>
      </w:r>
    </w:p>
    <w:p w:rsidR="0052273D" w:rsidRDefault="0052273D" w:rsidP="0052273D">
      <w:pPr>
        <w:spacing w:line="360" w:lineRule="auto"/>
        <w:jc w:val="both"/>
        <w:rPr>
          <w:rFonts w:ascii="Sylfaen" w:hAnsi="Sylfaen"/>
          <w:sz w:val="22"/>
          <w:szCs w:val="22"/>
        </w:rPr>
      </w:pPr>
      <w:r w:rsidRPr="0052273D">
        <w:rPr>
          <w:rFonts w:ascii="Sylfaen" w:hAnsi="Sylfaen"/>
          <w:sz w:val="22"/>
          <w:szCs w:val="22"/>
          <w:lang w:val="hy-AM"/>
        </w:rPr>
        <w:t>The purpose of the task is to enable local consultants to contribute their knowledge, experience and skills to solving the above-mentioned problems and ensuring the necessary results for the favorable and sustainable development of the country.</w:t>
      </w:r>
    </w:p>
    <w:p w:rsidR="00F02A4F" w:rsidRDefault="00F02A4F" w:rsidP="00F02A4F">
      <w:pPr>
        <w:spacing w:after="120"/>
        <w:jc w:val="center"/>
        <w:rPr>
          <w:rFonts w:ascii="Sylfaen" w:hAnsi="Sylfaen" w:cs="Arial"/>
          <w:b/>
        </w:rPr>
      </w:pPr>
      <w:r>
        <w:rPr>
          <w:rFonts w:ascii="Sylfaen" w:hAnsi="Sylfaen" w:cs="Arial"/>
          <w:b/>
        </w:rPr>
        <w:t xml:space="preserve">The objective of the </w:t>
      </w:r>
      <w:r w:rsidRPr="00D37FC1">
        <w:rPr>
          <w:rFonts w:ascii="Sylfaen" w:hAnsi="Sylfaen" w:cs="Arial"/>
          <w:b/>
        </w:rPr>
        <w:t>assignment</w:t>
      </w:r>
    </w:p>
    <w:p w:rsidR="00F02A4F" w:rsidRPr="002A6DC5" w:rsidRDefault="00F02A4F" w:rsidP="00F02A4F">
      <w:pPr>
        <w:spacing w:after="120"/>
        <w:jc w:val="center"/>
        <w:rPr>
          <w:rFonts w:ascii="Sylfaen" w:hAnsi="Sylfaen" w:cs="Arial"/>
          <w:b/>
        </w:rPr>
      </w:pPr>
    </w:p>
    <w:p w:rsidR="007E7DC6" w:rsidRPr="006A3E9C" w:rsidRDefault="007E7DC6" w:rsidP="007E7DC6">
      <w:pPr>
        <w:pStyle w:val="Default"/>
        <w:spacing w:after="120"/>
        <w:jc w:val="both"/>
        <w:rPr>
          <w:rFonts w:cs="Times New Roman"/>
          <w:color w:val="auto"/>
          <w:sz w:val="22"/>
          <w:szCs w:val="22"/>
          <w:lang w:val="hy-AM"/>
        </w:rPr>
      </w:pPr>
      <w:r w:rsidRPr="00455F83">
        <w:rPr>
          <w:rFonts w:cs="Times New Roman"/>
          <w:color w:val="auto"/>
          <w:sz w:val="22"/>
          <w:szCs w:val="22"/>
          <w:lang w:val="hy-AM"/>
        </w:rPr>
        <w:t>The creation of the MRV system in the field of buildings and the creation of the Energy Management Information System (EMIS) is carried out as a component of the creation and implementation of the internal system of MRV for the country. It will also contribute to the implementation of sustainable energy plans in the communities of the Republic of Armenia, the establishment of a system for monitoring energy consumption in public buildings, the preservation of the collected data in the EMIS, the assessment of the priority of EE activities and, as a result, the assessment of the achieved energy conservation and reduction of greenhouse gas emissions.</w:t>
      </w:r>
      <w:r w:rsidRPr="006A3E9C">
        <w:rPr>
          <w:rFonts w:cs="Times New Roman"/>
          <w:color w:val="auto"/>
          <w:sz w:val="22"/>
          <w:szCs w:val="22"/>
          <w:lang w:val="hy-AM"/>
        </w:rPr>
        <w:t xml:space="preserve"> </w:t>
      </w:r>
    </w:p>
    <w:p w:rsidR="007E7DC6" w:rsidRPr="006A3E9C" w:rsidRDefault="007E7DC6" w:rsidP="007E7DC6">
      <w:pPr>
        <w:shd w:val="clear" w:color="auto" w:fill="FFFFFF"/>
        <w:spacing w:after="120" w:line="270" w:lineRule="atLeast"/>
        <w:jc w:val="both"/>
        <w:rPr>
          <w:rFonts w:ascii="Sylfaen" w:hAnsi="Sylfaen"/>
          <w:bCs/>
          <w:lang w:val="hy-AM"/>
        </w:rPr>
      </w:pPr>
      <w:r w:rsidRPr="00455F83">
        <w:rPr>
          <w:rFonts w:ascii="Sylfaen" w:hAnsi="Sylfaen"/>
          <w:bCs/>
          <w:lang w:val="hy-AM"/>
        </w:rPr>
        <w:t>The objective of the assignment is to create a strong MRV for the buildings, which will allow monitoring energy use in buildings and shaping the history of investments into the EE modernization of buildings.</w:t>
      </w:r>
      <w:r w:rsidRPr="006A3E9C">
        <w:rPr>
          <w:rFonts w:ascii="Sylfaen" w:hAnsi="Sylfaen"/>
          <w:bCs/>
          <w:lang w:val="hy-AM"/>
        </w:rPr>
        <w:t xml:space="preserve"> </w:t>
      </w:r>
    </w:p>
    <w:p w:rsidR="007E7DC6" w:rsidRPr="006A3E9C" w:rsidRDefault="007E7DC6" w:rsidP="007E7DC6">
      <w:pPr>
        <w:shd w:val="clear" w:color="auto" w:fill="FFFFFF"/>
        <w:spacing w:after="120" w:line="270" w:lineRule="atLeast"/>
        <w:jc w:val="both"/>
        <w:rPr>
          <w:rFonts w:ascii="Sylfaen" w:hAnsi="Sylfaen"/>
          <w:bCs/>
          <w:lang w:val="hy-AM"/>
        </w:rPr>
      </w:pPr>
      <w:r>
        <w:rPr>
          <w:rFonts w:ascii="Sylfaen" w:hAnsi="Sylfaen"/>
          <w:bCs/>
          <w:lang w:val="hy-AM"/>
        </w:rPr>
        <w:t>The pro</w:t>
      </w:r>
      <w:proofErr w:type="spellStart"/>
      <w:r>
        <w:rPr>
          <w:rFonts w:ascii="Sylfaen" w:hAnsi="Sylfaen"/>
          <w:bCs/>
        </w:rPr>
        <w:t>ject</w:t>
      </w:r>
      <w:proofErr w:type="spellEnd"/>
      <w:r w:rsidRPr="00455F83">
        <w:rPr>
          <w:rFonts w:ascii="Sylfaen" w:hAnsi="Sylfaen"/>
          <w:bCs/>
          <w:lang w:val="hy-AM"/>
        </w:rPr>
        <w:t>, through the created platform/website, will provide potential borrowers (including commercial banks) with information about the potential for cost savings as a result of EE modernization and RE source integration.</w:t>
      </w:r>
      <w:r w:rsidRPr="006A3E9C">
        <w:rPr>
          <w:rFonts w:ascii="Sylfaen" w:hAnsi="Sylfaen"/>
          <w:bCs/>
          <w:lang w:val="hy-AM"/>
        </w:rPr>
        <w:t xml:space="preserve"> </w:t>
      </w:r>
    </w:p>
    <w:p w:rsidR="007E7DC6" w:rsidRPr="006A3E9C" w:rsidRDefault="007E7DC6" w:rsidP="007E7DC6">
      <w:pPr>
        <w:shd w:val="clear" w:color="auto" w:fill="FFFFFF"/>
        <w:spacing w:after="120" w:line="270" w:lineRule="atLeast"/>
        <w:jc w:val="both"/>
        <w:rPr>
          <w:rFonts w:ascii="Sylfaen" w:hAnsi="Sylfaen"/>
          <w:bCs/>
          <w:lang w:val="hy-AM"/>
        </w:rPr>
      </w:pPr>
      <w:r w:rsidRPr="00455F83">
        <w:rPr>
          <w:rFonts w:ascii="Sylfaen" w:hAnsi="Sylfaen"/>
          <w:bCs/>
          <w:lang w:val="hy-AM"/>
        </w:rPr>
        <w:t>The purpose of the assignment is to provide local consultants with the opportunity to apply their knowledge, experience and skills to solve the above tasks and ensure the results necessary for the favorable and stable development of the country.</w:t>
      </w:r>
    </w:p>
    <w:p w:rsidR="00F02A4F" w:rsidRPr="007E7DC6" w:rsidRDefault="00F02A4F" w:rsidP="001D1533">
      <w:pPr>
        <w:tabs>
          <w:tab w:val="left" w:pos="720"/>
        </w:tabs>
        <w:spacing w:line="360" w:lineRule="auto"/>
        <w:jc w:val="center"/>
        <w:rPr>
          <w:rFonts w:ascii="Sylfaen" w:hAnsi="Sylfaen"/>
          <w:b/>
          <w:szCs w:val="20"/>
          <w:lang w:val="hy-AM"/>
        </w:rPr>
      </w:pPr>
    </w:p>
    <w:p w:rsidR="00F02A4F" w:rsidRDefault="00F02A4F" w:rsidP="001D1533">
      <w:pPr>
        <w:tabs>
          <w:tab w:val="left" w:pos="720"/>
        </w:tabs>
        <w:spacing w:line="360" w:lineRule="auto"/>
        <w:jc w:val="center"/>
        <w:rPr>
          <w:rFonts w:ascii="Sylfaen" w:hAnsi="Sylfaen"/>
          <w:b/>
          <w:szCs w:val="20"/>
          <w:lang w:val="af-ZA"/>
        </w:rPr>
      </w:pPr>
    </w:p>
    <w:p w:rsidR="00F02A4F" w:rsidRDefault="00F02A4F" w:rsidP="001D1533">
      <w:pPr>
        <w:tabs>
          <w:tab w:val="left" w:pos="720"/>
        </w:tabs>
        <w:spacing w:line="360" w:lineRule="auto"/>
        <w:jc w:val="center"/>
        <w:rPr>
          <w:rFonts w:ascii="Sylfaen" w:hAnsi="Sylfaen"/>
          <w:b/>
          <w:szCs w:val="20"/>
          <w:lang w:val="af-ZA"/>
        </w:rPr>
      </w:pPr>
    </w:p>
    <w:p w:rsidR="00F02A4F" w:rsidRDefault="00F02A4F" w:rsidP="001D1533">
      <w:pPr>
        <w:tabs>
          <w:tab w:val="left" w:pos="720"/>
        </w:tabs>
        <w:spacing w:line="360" w:lineRule="auto"/>
        <w:jc w:val="center"/>
        <w:rPr>
          <w:rFonts w:ascii="Sylfaen" w:hAnsi="Sylfaen"/>
          <w:b/>
          <w:szCs w:val="20"/>
          <w:lang w:val="af-ZA"/>
        </w:rPr>
      </w:pPr>
    </w:p>
    <w:p w:rsidR="007E7DC6" w:rsidRDefault="007E7DC6" w:rsidP="001D1533">
      <w:pPr>
        <w:tabs>
          <w:tab w:val="left" w:pos="720"/>
        </w:tabs>
        <w:spacing w:line="360" w:lineRule="auto"/>
        <w:jc w:val="center"/>
        <w:rPr>
          <w:rFonts w:ascii="Sylfaen" w:hAnsi="Sylfaen"/>
          <w:b/>
          <w:szCs w:val="20"/>
          <w:lang w:val="af-ZA"/>
        </w:rPr>
      </w:pPr>
    </w:p>
    <w:p w:rsidR="007E7DC6" w:rsidRDefault="007E7DC6" w:rsidP="001D1533">
      <w:pPr>
        <w:tabs>
          <w:tab w:val="left" w:pos="720"/>
        </w:tabs>
        <w:spacing w:line="360" w:lineRule="auto"/>
        <w:jc w:val="center"/>
        <w:rPr>
          <w:rFonts w:ascii="Sylfaen" w:hAnsi="Sylfaen"/>
          <w:b/>
          <w:szCs w:val="20"/>
          <w:lang w:val="af-ZA"/>
        </w:rPr>
      </w:pPr>
    </w:p>
    <w:p w:rsidR="00F02A4F" w:rsidRDefault="00F02A4F" w:rsidP="001D1533">
      <w:pPr>
        <w:tabs>
          <w:tab w:val="left" w:pos="720"/>
        </w:tabs>
        <w:spacing w:line="360" w:lineRule="auto"/>
        <w:jc w:val="center"/>
        <w:rPr>
          <w:rFonts w:ascii="Sylfaen" w:hAnsi="Sylfaen"/>
          <w:b/>
          <w:szCs w:val="20"/>
          <w:lang w:val="af-ZA"/>
        </w:rPr>
      </w:pPr>
    </w:p>
    <w:p w:rsidR="001D1533" w:rsidRPr="00F02A4F" w:rsidRDefault="0052273D" w:rsidP="001D1533">
      <w:pPr>
        <w:tabs>
          <w:tab w:val="left" w:pos="720"/>
        </w:tabs>
        <w:spacing w:line="360" w:lineRule="auto"/>
        <w:jc w:val="center"/>
        <w:rPr>
          <w:rFonts w:ascii="Sylfaen" w:hAnsi="Sylfaen"/>
          <w:b/>
          <w:color w:val="FF0000"/>
          <w:sz w:val="28"/>
          <w:szCs w:val="28"/>
          <w:lang w:val="af-ZA"/>
        </w:rPr>
      </w:pPr>
      <w:r w:rsidRPr="00F02A4F">
        <w:rPr>
          <w:rFonts w:ascii="Sylfaen" w:hAnsi="Sylfaen"/>
          <w:b/>
          <w:color w:val="FF0000"/>
          <w:sz w:val="28"/>
          <w:szCs w:val="28"/>
          <w:lang w:val="af-ZA"/>
        </w:rPr>
        <w:t>ToR</w:t>
      </w:r>
    </w:p>
    <w:p w:rsidR="007E7DC6" w:rsidRPr="00D60D42" w:rsidRDefault="007E7DC6" w:rsidP="007E7DC6">
      <w:pPr>
        <w:jc w:val="center"/>
        <w:rPr>
          <w:rFonts w:ascii="Sylfaen" w:hAnsi="Sylfaen" w:cs="Arial"/>
          <w:b/>
          <w:bCs/>
        </w:rPr>
      </w:pPr>
      <w:r w:rsidRPr="00D60D42">
        <w:rPr>
          <w:rFonts w:ascii="Sylfaen" w:hAnsi="Sylfaen" w:cs="Arial"/>
          <w:b/>
          <w:bCs/>
          <w:lang w:val="hy-AM"/>
        </w:rPr>
        <w:t>Description of the main job resposibilities of the site maintenance and development expert within the framework of the component "Creation of a MRV system in the field of buildings and knowledge management" of the project "De-Risking and Scaling-up Investment in Energ</w:t>
      </w:r>
      <w:r>
        <w:rPr>
          <w:rFonts w:ascii="Sylfaen" w:hAnsi="Sylfaen" w:cs="Arial"/>
          <w:b/>
          <w:bCs/>
          <w:lang w:val="hy-AM"/>
        </w:rPr>
        <w:t>y Efficient Building Retrofits"</w:t>
      </w:r>
    </w:p>
    <w:p w:rsidR="007E7DC6" w:rsidRPr="006A3E9C" w:rsidRDefault="007E7DC6" w:rsidP="007E7DC6">
      <w:pPr>
        <w:spacing w:after="120"/>
        <w:jc w:val="both"/>
        <w:rPr>
          <w:rFonts w:ascii="Sylfaen" w:hAnsi="Sylfaen" w:cs="Arial"/>
          <w:lang w:val="hy-AM"/>
        </w:rPr>
      </w:pPr>
    </w:p>
    <w:p w:rsidR="007E7DC6" w:rsidRPr="006A3E9C" w:rsidRDefault="007E7DC6" w:rsidP="007E7DC6">
      <w:pPr>
        <w:spacing w:after="120"/>
        <w:jc w:val="both"/>
        <w:rPr>
          <w:rFonts w:ascii="Sylfaen" w:hAnsi="Sylfaen" w:cs="Arial"/>
          <w:lang w:val="hy-AM"/>
        </w:rPr>
      </w:pPr>
      <w:r w:rsidRPr="00D60D42">
        <w:rPr>
          <w:rFonts w:ascii="Sylfaen" w:hAnsi="Sylfaen" w:cs="Arial"/>
          <w:lang w:val="hy-AM"/>
        </w:rPr>
        <w:t>Assist the project team - international consultants and contractors of the project, as well as perform the following activities:</w:t>
      </w:r>
    </w:p>
    <w:p w:rsidR="007E7DC6" w:rsidRPr="006A3E9C" w:rsidRDefault="007E7DC6" w:rsidP="007E7DC6">
      <w:pPr>
        <w:numPr>
          <w:ilvl w:val="0"/>
          <w:numId w:val="27"/>
        </w:numPr>
        <w:shd w:val="clear" w:color="auto" w:fill="FFFFFF"/>
        <w:spacing w:line="375" w:lineRule="atLeast"/>
        <w:ind w:left="714" w:hanging="357"/>
        <w:rPr>
          <w:rFonts w:ascii="Sylfaen" w:hAnsi="Sylfaen"/>
          <w:lang w:val="hy-AM" w:eastAsia="en-GB"/>
        </w:rPr>
      </w:pPr>
      <w:r>
        <w:rPr>
          <w:rFonts w:ascii="Sylfaen" w:hAnsi="Sylfaen" w:cs="Segoe UI"/>
          <w:bdr w:val="none" w:sz="0" w:space="0" w:color="auto" w:frame="1"/>
        </w:rPr>
        <w:t xml:space="preserve">Managing the overall structure of the website </w:t>
      </w:r>
      <w:r w:rsidRPr="006A3E9C">
        <w:rPr>
          <w:rFonts w:ascii="Sylfaen" w:hAnsi="Sylfaen" w:cs="Segoe UI"/>
          <w:bdr w:val="none" w:sz="0" w:space="0" w:color="auto" w:frame="1"/>
          <w:lang w:val="hy-AM"/>
        </w:rPr>
        <w:t>Mershenq.am</w:t>
      </w:r>
      <w:r w:rsidRPr="006A3E9C">
        <w:rPr>
          <w:rFonts w:ascii="Sylfaen" w:hAnsi="Sylfaen"/>
          <w:lang w:val="hy-AM" w:eastAsia="en-GB"/>
        </w:rPr>
        <w:t>,</w:t>
      </w:r>
    </w:p>
    <w:p w:rsidR="007E7DC6" w:rsidRPr="006A3E9C" w:rsidRDefault="007E7DC6" w:rsidP="007E7DC6">
      <w:pPr>
        <w:numPr>
          <w:ilvl w:val="0"/>
          <w:numId w:val="27"/>
        </w:numPr>
        <w:shd w:val="clear" w:color="auto" w:fill="FFFFFF"/>
        <w:spacing w:line="375" w:lineRule="atLeast"/>
        <w:rPr>
          <w:rFonts w:ascii="Sylfaen" w:hAnsi="Sylfaen"/>
          <w:lang w:val="hy-AM" w:eastAsia="en-GB"/>
        </w:rPr>
      </w:pPr>
      <w:r w:rsidRPr="00455F83">
        <w:rPr>
          <w:rFonts w:ascii="Sylfaen" w:hAnsi="Sylfaen" w:cs="Segoe UI"/>
          <w:bdr w:val="none" w:sz="0" w:space="0" w:color="auto" w:frame="1"/>
          <w:lang w:val="hy-AM"/>
        </w:rPr>
        <w:t xml:space="preserve">Quick response to </w:t>
      </w:r>
      <w:r>
        <w:rPr>
          <w:rFonts w:ascii="Sylfaen" w:hAnsi="Sylfaen" w:cs="Segoe UI"/>
          <w:bdr w:val="none" w:sz="0" w:space="0" w:color="auto" w:frame="1"/>
        </w:rPr>
        <w:t xml:space="preserve">the </w:t>
      </w:r>
      <w:r w:rsidRPr="00455F83">
        <w:rPr>
          <w:rFonts w:ascii="Sylfaen" w:hAnsi="Sylfaen" w:cs="Segoe UI"/>
          <w:bdr w:val="none" w:sz="0" w:space="0" w:color="auto" w:frame="1"/>
          <w:lang w:val="hy-AM"/>
        </w:rPr>
        <w:t>problems with the website Mershenq.am</w:t>
      </w:r>
      <w:r w:rsidRPr="006A3E9C">
        <w:rPr>
          <w:rFonts w:ascii="Sylfaen" w:hAnsi="Sylfaen"/>
          <w:lang w:val="hy-AM" w:eastAsia="en-GB"/>
        </w:rPr>
        <w:t>,</w:t>
      </w:r>
    </w:p>
    <w:p w:rsidR="007E7DC6" w:rsidRPr="006A3E9C" w:rsidRDefault="007E7DC6" w:rsidP="007E7DC6">
      <w:pPr>
        <w:numPr>
          <w:ilvl w:val="0"/>
          <w:numId w:val="27"/>
        </w:numPr>
        <w:shd w:val="clear" w:color="auto" w:fill="FFFFFF"/>
        <w:spacing w:line="375" w:lineRule="atLeast"/>
        <w:rPr>
          <w:rFonts w:ascii="Sylfaen" w:hAnsi="Sylfaen"/>
          <w:lang w:val="hy-AM" w:eastAsia="en-GB"/>
        </w:rPr>
      </w:pPr>
      <w:r w:rsidRPr="00E054A2">
        <w:rPr>
          <w:rFonts w:ascii="Sylfaen" w:hAnsi="Sylfaen"/>
          <w:lang w:val="hy-AM" w:eastAsia="en-GB"/>
        </w:rPr>
        <w:t>Offering and implementing optimal solutions to problems</w:t>
      </w:r>
      <w:r w:rsidRPr="006A3E9C">
        <w:rPr>
          <w:rFonts w:ascii="Sylfaen" w:hAnsi="Sylfaen"/>
          <w:lang w:val="hy-AM" w:eastAsia="en-GB"/>
        </w:rPr>
        <w:t>,</w:t>
      </w:r>
    </w:p>
    <w:p w:rsidR="007E7DC6" w:rsidRPr="006A3E9C" w:rsidRDefault="007E7DC6" w:rsidP="007E7DC6">
      <w:pPr>
        <w:numPr>
          <w:ilvl w:val="0"/>
          <w:numId w:val="26"/>
        </w:numPr>
        <w:jc w:val="both"/>
        <w:rPr>
          <w:rFonts w:ascii="Sylfaen" w:hAnsi="Sylfaen" w:cs="Arial"/>
          <w:lang w:val="hy-AM"/>
        </w:rPr>
      </w:pPr>
      <w:r w:rsidRPr="00E054A2">
        <w:rPr>
          <w:rFonts w:ascii="Sylfaen" w:hAnsi="Sylfaen" w:cs="Arial"/>
          <w:lang w:val="hy-AM"/>
        </w:rPr>
        <w:t>Implement  the main work on debugging the website Mershenq.am, including restoring the full functionality of the website, reinstalling all necessary data, providing a flexible editing system, identifying and eliminating possible gaps in the website security system, ensuring uninterrupted and reliable operation of the website/resource</w:t>
      </w:r>
      <w:r w:rsidRPr="006A3E9C">
        <w:rPr>
          <w:rFonts w:ascii="Sylfaen" w:hAnsi="Sylfaen" w:cs="Segoe UI"/>
          <w:bdr w:val="none" w:sz="0" w:space="0" w:color="auto" w:frame="1"/>
          <w:lang w:val="hy-AM"/>
        </w:rPr>
        <w:t>,</w:t>
      </w:r>
    </w:p>
    <w:p w:rsidR="007E7DC6" w:rsidRPr="006A3E9C" w:rsidRDefault="007E7DC6" w:rsidP="007E7DC6">
      <w:pPr>
        <w:numPr>
          <w:ilvl w:val="0"/>
          <w:numId w:val="26"/>
        </w:numPr>
        <w:jc w:val="both"/>
        <w:rPr>
          <w:rFonts w:ascii="Sylfaen" w:hAnsi="Sylfaen" w:cs="Arial"/>
          <w:lang w:val="hy-AM"/>
        </w:rPr>
      </w:pPr>
      <w:r w:rsidRPr="00E054A2">
        <w:rPr>
          <w:rFonts w:ascii="Sylfaen" w:hAnsi="Sylfaen" w:cs="Arial"/>
          <w:lang w:val="hy-AM"/>
        </w:rPr>
        <w:t>To ensure the most secure hosting of the website library in consultation with the project management and in close cooperation with the organization developing the website</w:t>
      </w:r>
      <w:r w:rsidRPr="006A3E9C">
        <w:rPr>
          <w:rFonts w:ascii="Sylfaen" w:hAnsi="Sylfaen" w:cs="Arial"/>
          <w:lang w:val="hy-AM"/>
        </w:rPr>
        <w:t>,</w:t>
      </w:r>
    </w:p>
    <w:p w:rsidR="007E7DC6" w:rsidRPr="006A3E9C" w:rsidRDefault="007E7DC6" w:rsidP="007E7DC6">
      <w:pPr>
        <w:numPr>
          <w:ilvl w:val="0"/>
          <w:numId w:val="26"/>
        </w:numPr>
        <w:ind w:left="714" w:hanging="357"/>
        <w:jc w:val="both"/>
        <w:rPr>
          <w:rFonts w:ascii="Sylfaen" w:hAnsi="Sylfaen" w:cs="Arial"/>
          <w:lang w:val="hy-AM"/>
        </w:rPr>
      </w:pPr>
      <w:r w:rsidRPr="00DD7C03">
        <w:rPr>
          <w:rFonts w:ascii="Sylfaen" w:hAnsi="Sylfaen" w:cs="Arial"/>
          <w:lang w:val="hy-AM"/>
        </w:rPr>
        <w:t>Provide the maintenance of the website Mershenq.am if requested (within 14 months), including adding/editing/deleting sections, prompt elimination of possible failures, ongoing assistance in solving other possible problems related to the smooth operation of the website.</w:t>
      </w:r>
    </w:p>
    <w:p w:rsidR="007E7DC6" w:rsidRPr="006A3E9C" w:rsidRDefault="007E7DC6" w:rsidP="007E7DC6">
      <w:pPr>
        <w:rPr>
          <w:lang w:val="hy-AM"/>
        </w:rPr>
      </w:pPr>
    </w:p>
    <w:p w:rsidR="007E7DC6" w:rsidRPr="006A3E9C" w:rsidRDefault="007E7DC6" w:rsidP="007E7DC6">
      <w:pPr>
        <w:tabs>
          <w:tab w:val="left" w:pos="0"/>
        </w:tabs>
        <w:spacing w:after="60"/>
        <w:rPr>
          <w:rFonts w:ascii="Sylfaen" w:hAnsi="Sylfaen" w:cs="Sylfaen"/>
          <w:b/>
          <w:lang w:val="hy-AM"/>
        </w:rPr>
      </w:pPr>
    </w:p>
    <w:p w:rsidR="007E7DC6" w:rsidRPr="00995144" w:rsidRDefault="007E7DC6" w:rsidP="007E7DC6">
      <w:pPr>
        <w:tabs>
          <w:tab w:val="left" w:pos="0"/>
        </w:tabs>
        <w:spacing w:after="60"/>
        <w:rPr>
          <w:rFonts w:ascii="Sylfaen" w:hAnsi="Sylfaen" w:cs="Sylfaen"/>
          <w:b/>
        </w:rPr>
      </w:pPr>
      <w:r>
        <w:rPr>
          <w:rFonts w:ascii="Sylfaen" w:hAnsi="Sylfaen" w:cs="Sylfaen"/>
          <w:b/>
        </w:rPr>
        <w:t>Reporting:</w:t>
      </w:r>
    </w:p>
    <w:p w:rsidR="007E7DC6" w:rsidRPr="006A3E9C" w:rsidRDefault="007E7DC6" w:rsidP="007E7DC6">
      <w:pPr>
        <w:tabs>
          <w:tab w:val="left" w:pos="0"/>
        </w:tabs>
        <w:spacing w:after="60"/>
        <w:jc w:val="both"/>
        <w:rPr>
          <w:rFonts w:ascii="Sylfaen" w:hAnsi="Sylfaen"/>
          <w:bCs/>
          <w:lang w:val="hy-AM"/>
        </w:rPr>
      </w:pPr>
      <w:r w:rsidRPr="00995144">
        <w:rPr>
          <w:rFonts w:ascii="Sylfaen" w:hAnsi="Sylfaen" w:cs="Sylfaen"/>
          <w:lang w:val="hy-AM" w:eastAsia="ru-RU"/>
        </w:rPr>
        <w:t>The individual consultant should work under the direct supervision of the UNDP Climate Change Project Coordinator, the UNDP-GCF Project Manager and the Coordinator of the first component of the project in close cooperation with a group of international and local consultants.</w:t>
      </w:r>
      <w:r>
        <w:rPr>
          <w:rFonts w:ascii="Sylfaen" w:hAnsi="Sylfaen"/>
          <w:lang w:val="hy-AM"/>
        </w:rPr>
        <w:t xml:space="preserve"> </w:t>
      </w:r>
      <w:r w:rsidRPr="00995144">
        <w:rPr>
          <w:rFonts w:ascii="Sylfaen" w:hAnsi="Sylfaen" w:cs="Calibri"/>
          <w:lang w:val="hy-AM"/>
        </w:rPr>
        <w:t>The results are submitted for approval by the UNDP-GCF Project Manager, Director of EPIU and Coordinator of the first component of the project.</w:t>
      </w:r>
    </w:p>
    <w:p w:rsidR="007E7DC6" w:rsidRPr="006A3E9C" w:rsidRDefault="007E7DC6" w:rsidP="007E7DC6">
      <w:pPr>
        <w:pStyle w:val="aff"/>
        <w:tabs>
          <w:tab w:val="left" w:pos="0"/>
        </w:tabs>
        <w:autoSpaceDE w:val="0"/>
        <w:autoSpaceDN w:val="0"/>
        <w:adjustRightInd w:val="0"/>
        <w:spacing w:after="60"/>
        <w:ind w:left="0"/>
        <w:rPr>
          <w:rFonts w:ascii="Sylfaen" w:hAnsi="Sylfaen"/>
          <w:b/>
          <w:bCs/>
          <w:lang w:val="hy-AM"/>
        </w:rPr>
      </w:pPr>
    </w:p>
    <w:p w:rsidR="007E7DC6" w:rsidRDefault="007E7DC6" w:rsidP="007E7DC6">
      <w:pPr>
        <w:pStyle w:val="aff"/>
        <w:tabs>
          <w:tab w:val="left" w:pos="0"/>
        </w:tabs>
        <w:autoSpaceDE w:val="0"/>
        <w:autoSpaceDN w:val="0"/>
        <w:adjustRightInd w:val="0"/>
        <w:spacing w:after="60"/>
        <w:ind w:left="0"/>
        <w:rPr>
          <w:rFonts w:ascii="Sylfaen" w:hAnsi="Sylfaen"/>
          <w:b/>
          <w:bCs/>
        </w:rPr>
      </w:pPr>
      <w:r w:rsidRPr="00995144">
        <w:rPr>
          <w:rFonts w:ascii="Sylfaen" w:hAnsi="Sylfaen"/>
          <w:b/>
          <w:bCs/>
          <w:lang w:val="hy-AM"/>
        </w:rPr>
        <w:t>Reporting language:</w:t>
      </w:r>
    </w:p>
    <w:p w:rsidR="007E7DC6" w:rsidRPr="00DD7C03" w:rsidRDefault="007E7DC6" w:rsidP="007E7DC6">
      <w:pPr>
        <w:pStyle w:val="aff"/>
        <w:tabs>
          <w:tab w:val="left" w:pos="0"/>
        </w:tabs>
        <w:autoSpaceDE w:val="0"/>
        <w:autoSpaceDN w:val="0"/>
        <w:adjustRightInd w:val="0"/>
        <w:spacing w:after="60"/>
        <w:ind w:left="0"/>
        <w:rPr>
          <w:rFonts w:ascii="Sylfaen" w:hAnsi="Sylfaen" w:cs="Arial"/>
        </w:rPr>
      </w:pPr>
      <w:r w:rsidRPr="00995144">
        <w:rPr>
          <w:rFonts w:ascii="Sylfaen" w:hAnsi="Sylfaen"/>
          <w:bCs/>
          <w:lang w:val="hy-AM"/>
        </w:rPr>
        <w:t>Report</w:t>
      </w:r>
      <w:r>
        <w:rPr>
          <w:rFonts w:ascii="Sylfaen" w:hAnsi="Sylfaen"/>
          <w:bCs/>
          <w:lang w:val="hy-AM"/>
        </w:rPr>
        <w:t>s must be submitted in Armenian</w:t>
      </w:r>
      <w:r>
        <w:rPr>
          <w:rFonts w:ascii="Sylfaen" w:hAnsi="Sylfaen"/>
          <w:bCs/>
        </w:rPr>
        <w:t xml:space="preserve"> </w:t>
      </w:r>
      <w:proofErr w:type="spellStart"/>
      <w:r>
        <w:rPr>
          <w:rFonts w:ascii="Sylfaen" w:hAnsi="Sylfaen"/>
          <w:bCs/>
        </w:rPr>
        <w:t>and</w:t>
      </w:r>
      <w:proofErr w:type="spellEnd"/>
      <w:r>
        <w:rPr>
          <w:rFonts w:ascii="Sylfaen" w:hAnsi="Sylfaen"/>
          <w:bCs/>
        </w:rPr>
        <w:t xml:space="preserve"> </w:t>
      </w:r>
      <w:proofErr w:type="spellStart"/>
      <w:r>
        <w:rPr>
          <w:rFonts w:ascii="Sylfaen" w:hAnsi="Sylfaen"/>
          <w:bCs/>
        </w:rPr>
        <w:t>English</w:t>
      </w:r>
      <w:proofErr w:type="spellEnd"/>
      <w:r>
        <w:rPr>
          <w:rFonts w:ascii="Sylfaen" w:hAnsi="Sylfaen"/>
          <w:bCs/>
        </w:rPr>
        <w:t>.</w:t>
      </w:r>
    </w:p>
    <w:p w:rsidR="007E7DC6" w:rsidRPr="006A3E9C" w:rsidRDefault="007E7DC6" w:rsidP="007E7DC6">
      <w:pPr>
        <w:pStyle w:val="aff"/>
        <w:tabs>
          <w:tab w:val="left" w:pos="0"/>
        </w:tabs>
        <w:autoSpaceDE w:val="0"/>
        <w:autoSpaceDN w:val="0"/>
        <w:adjustRightInd w:val="0"/>
        <w:spacing w:after="60"/>
        <w:ind w:left="0"/>
        <w:rPr>
          <w:rFonts w:ascii="Sylfaen" w:hAnsi="Sylfaen" w:cs="Arial"/>
          <w:lang w:val="hy-AM"/>
        </w:rPr>
      </w:pPr>
      <w:r w:rsidRPr="006A3E9C">
        <w:rPr>
          <w:rFonts w:ascii="Sylfaen" w:hAnsi="Sylfaen" w:cs="Arial"/>
          <w:lang w:val="hy-AM"/>
        </w:rPr>
        <w:t xml:space="preserve"> </w:t>
      </w:r>
    </w:p>
    <w:p w:rsidR="00F02A4F" w:rsidRPr="00D95601" w:rsidRDefault="00F02A4F" w:rsidP="00F02A4F">
      <w:pPr>
        <w:rPr>
          <w:lang w:val="hy-AM"/>
        </w:rPr>
      </w:pPr>
    </w:p>
    <w:p w:rsidR="005552F1" w:rsidRPr="0014394D" w:rsidRDefault="0052273D" w:rsidP="00F02A4F">
      <w:pPr>
        <w:spacing w:after="60"/>
        <w:jc w:val="both"/>
        <w:rPr>
          <w:rFonts w:ascii="Sylfaen" w:hAnsi="Sylfaen" w:cs="Arial"/>
          <w:b/>
          <w:lang w:val="hy-AM"/>
        </w:rPr>
      </w:pPr>
      <w:r w:rsidRPr="0052273D">
        <w:rPr>
          <w:rFonts w:ascii="Sylfaen" w:hAnsi="Sylfaen" w:cs="Arial"/>
          <w:b/>
          <w:lang w:val="hy-AM"/>
        </w:rPr>
        <w:t xml:space="preserve">1. Experience and Qualification Requirements </w:t>
      </w:r>
      <w:r w:rsidR="005552F1" w:rsidRPr="0014394D">
        <w:rPr>
          <w:rFonts w:ascii="Sylfaen" w:hAnsi="Sylfaen" w:cs="Arial"/>
          <w:b/>
          <w:lang w:val="hy-AM"/>
        </w:rPr>
        <w:t>*</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4"/>
        <w:gridCol w:w="4721"/>
        <w:gridCol w:w="3775"/>
      </w:tblGrid>
      <w:tr w:rsidR="007E7DC6" w:rsidRPr="006A3E9C" w:rsidTr="00A95CE6">
        <w:trPr>
          <w:cantSplit/>
          <w:tblHeader/>
        </w:trPr>
        <w:tc>
          <w:tcPr>
            <w:tcW w:w="1404" w:type="dxa"/>
            <w:shd w:val="clear" w:color="auto" w:fill="8DB3E2"/>
            <w:tcMar>
              <w:top w:w="57" w:type="dxa"/>
              <w:bottom w:w="57" w:type="dxa"/>
            </w:tcMar>
          </w:tcPr>
          <w:p w:rsidR="007E7DC6" w:rsidRPr="006A3E9C" w:rsidRDefault="007E7DC6" w:rsidP="00A95CE6">
            <w:pPr>
              <w:tabs>
                <w:tab w:val="left" w:pos="0"/>
              </w:tabs>
              <w:spacing w:after="60"/>
              <w:rPr>
                <w:rFonts w:ascii="Sylfaen" w:hAnsi="Sylfaen"/>
                <w:lang w:val="hy-AM"/>
              </w:rPr>
            </w:pPr>
          </w:p>
        </w:tc>
        <w:tc>
          <w:tcPr>
            <w:tcW w:w="4721" w:type="dxa"/>
            <w:shd w:val="clear" w:color="auto" w:fill="8DB3E2"/>
            <w:tcMar>
              <w:top w:w="57" w:type="dxa"/>
              <w:bottom w:w="57" w:type="dxa"/>
            </w:tcMar>
          </w:tcPr>
          <w:p w:rsidR="007E7DC6" w:rsidRPr="006A3E9C" w:rsidRDefault="007E7DC6" w:rsidP="00A95CE6">
            <w:pPr>
              <w:tabs>
                <w:tab w:val="left" w:pos="0"/>
              </w:tabs>
              <w:spacing w:after="60"/>
              <w:rPr>
                <w:rFonts w:ascii="Sylfaen" w:hAnsi="Sylfaen"/>
                <w:b/>
                <w:lang w:val="hy-AM"/>
              </w:rPr>
            </w:pPr>
            <w:r w:rsidRPr="007814DD">
              <w:rPr>
                <w:rFonts w:ascii="Sylfaen" w:hAnsi="Sylfaen"/>
                <w:b/>
                <w:lang w:val="hy-AM"/>
              </w:rPr>
              <w:t>Minimum requirements</w:t>
            </w:r>
          </w:p>
        </w:tc>
        <w:tc>
          <w:tcPr>
            <w:tcW w:w="3775" w:type="dxa"/>
            <w:shd w:val="clear" w:color="auto" w:fill="8DB3E2"/>
          </w:tcPr>
          <w:p w:rsidR="007E7DC6" w:rsidRPr="006A3E9C" w:rsidRDefault="007E7DC6" w:rsidP="00A95CE6">
            <w:pPr>
              <w:tabs>
                <w:tab w:val="left" w:pos="0"/>
              </w:tabs>
              <w:spacing w:after="60"/>
              <w:rPr>
                <w:rFonts w:ascii="Sylfaen" w:hAnsi="Sylfaen"/>
                <w:b/>
                <w:lang w:val="hy-AM"/>
              </w:rPr>
            </w:pPr>
            <w:r w:rsidRPr="007814DD">
              <w:rPr>
                <w:rFonts w:ascii="Sylfaen" w:hAnsi="Sylfaen"/>
                <w:b/>
                <w:lang w:val="hy-AM"/>
              </w:rPr>
              <w:t>Advantages</w:t>
            </w:r>
          </w:p>
        </w:tc>
      </w:tr>
      <w:tr w:rsidR="007E7DC6" w:rsidRPr="006A3E9C" w:rsidTr="00A95CE6">
        <w:trPr>
          <w:cantSplit/>
        </w:trPr>
        <w:tc>
          <w:tcPr>
            <w:tcW w:w="1404" w:type="dxa"/>
            <w:tcMar>
              <w:top w:w="57" w:type="dxa"/>
              <w:bottom w:w="57" w:type="dxa"/>
            </w:tcMar>
          </w:tcPr>
          <w:p w:rsidR="007E7DC6" w:rsidRPr="006A3E9C" w:rsidRDefault="007E7DC6" w:rsidP="00A95CE6">
            <w:pPr>
              <w:tabs>
                <w:tab w:val="left" w:pos="0"/>
              </w:tabs>
              <w:spacing w:after="60"/>
              <w:rPr>
                <w:rFonts w:ascii="Sylfaen" w:hAnsi="Sylfaen"/>
                <w:b/>
                <w:lang w:val="hy-AM"/>
              </w:rPr>
            </w:pPr>
            <w:r w:rsidRPr="007814DD">
              <w:rPr>
                <w:rFonts w:ascii="Sylfaen" w:hAnsi="Sylfaen"/>
                <w:b/>
                <w:sz w:val="20"/>
                <w:szCs w:val="20"/>
                <w:lang w:val="hy-AM"/>
              </w:rPr>
              <w:lastRenderedPageBreak/>
              <w:t>General qualifications</w:t>
            </w:r>
          </w:p>
        </w:tc>
        <w:tc>
          <w:tcPr>
            <w:tcW w:w="4721" w:type="dxa"/>
            <w:tcMar>
              <w:top w:w="57" w:type="dxa"/>
              <w:bottom w:w="57" w:type="dxa"/>
            </w:tcMar>
          </w:tcPr>
          <w:p w:rsidR="007E7DC6" w:rsidRPr="006A3E9C"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Higher education in IT, web programming or other related fields</w:t>
            </w:r>
            <w:r>
              <w:rPr>
                <w:rFonts w:ascii="arianamu" w:hAnsi="arianamu"/>
                <w:lang w:eastAsia="en-GB"/>
              </w:rPr>
              <w:t>.</w:t>
            </w:r>
          </w:p>
          <w:p w:rsidR="007E7DC6" w:rsidRPr="006A3E9C"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At least 3 years of respective work experience</w:t>
            </w:r>
            <w:r>
              <w:rPr>
                <w:rFonts w:ascii="arianamu" w:hAnsi="arianamu"/>
                <w:lang w:eastAsia="en-GB"/>
              </w:rPr>
              <w:t>.</w:t>
            </w:r>
          </w:p>
          <w:p w:rsidR="007E7DC6" w:rsidRPr="006A3E9C" w:rsidRDefault="007E7DC6" w:rsidP="007E7DC6">
            <w:pPr>
              <w:numPr>
                <w:ilvl w:val="0"/>
                <w:numId w:val="22"/>
              </w:numPr>
              <w:shd w:val="clear" w:color="auto" w:fill="FFFFFF"/>
              <w:spacing w:line="375" w:lineRule="atLeast"/>
              <w:ind w:left="720"/>
              <w:rPr>
                <w:rFonts w:ascii="arianamu" w:hAnsi="arianamu"/>
                <w:lang w:val="hy-AM" w:eastAsia="en-GB"/>
              </w:rPr>
            </w:pPr>
            <w:r>
              <w:rPr>
                <w:rFonts w:ascii="arianamu" w:hAnsi="arianamu"/>
                <w:lang w:eastAsia="en-GB"/>
              </w:rPr>
              <w:t>E</w:t>
            </w:r>
            <w:r w:rsidRPr="00DD7C03">
              <w:rPr>
                <w:rFonts w:ascii="arianamu" w:hAnsi="arianamu"/>
                <w:lang w:val="hy-AM" w:eastAsia="en-GB"/>
              </w:rPr>
              <w:t>xperience in website programming</w:t>
            </w:r>
            <w:r>
              <w:rPr>
                <w:rFonts w:ascii="arianamu" w:hAnsi="arianamu"/>
                <w:lang w:eastAsia="en-GB"/>
              </w:rPr>
              <w:t xml:space="preserve"> for at</w:t>
            </w:r>
            <w:r w:rsidRPr="00DD7C03">
              <w:rPr>
                <w:rFonts w:ascii="arianamu" w:hAnsi="arianamu"/>
                <w:lang w:val="hy-AM" w:eastAsia="en-GB"/>
              </w:rPr>
              <w:t xml:space="preserve"> least 1</w:t>
            </w:r>
            <w:r>
              <w:rPr>
                <w:rFonts w:ascii="arianamu" w:hAnsi="arianamu"/>
                <w:lang w:eastAsia="en-GB"/>
              </w:rPr>
              <w:t xml:space="preserve"> website.</w:t>
            </w:r>
          </w:p>
          <w:p w:rsidR="007E7DC6" w:rsidRPr="006A3E9C"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Excellent knowledge of Armenian, English and Russian languages</w:t>
            </w:r>
          </w:p>
        </w:tc>
        <w:tc>
          <w:tcPr>
            <w:tcW w:w="3775" w:type="dxa"/>
          </w:tcPr>
          <w:p w:rsidR="007E7DC6" w:rsidRPr="00DD7C03" w:rsidRDefault="007E7DC6" w:rsidP="007E7DC6">
            <w:pPr>
              <w:pStyle w:val="aff"/>
              <w:numPr>
                <w:ilvl w:val="0"/>
                <w:numId w:val="22"/>
              </w:numPr>
              <w:spacing w:after="60"/>
              <w:ind w:left="720"/>
              <w:contextualSpacing/>
              <w:rPr>
                <w:rFonts w:ascii="Sylfaen" w:hAnsi="Sylfaen"/>
                <w:lang w:val="hy-AM"/>
              </w:rPr>
            </w:pPr>
            <w:r w:rsidRPr="00DD7C03">
              <w:rPr>
                <w:rFonts w:ascii="Sylfaen" w:hAnsi="Sylfaen"/>
                <w:lang w:val="hy-AM"/>
              </w:rPr>
              <w:t>Knowledge of the Russian language</w:t>
            </w:r>
          </w:p>
        </w:tc>
      </w:tr>
      <w:tr w:rsidR="007E7DC6" w:rsidRPr="00455F83" w:rsidTr="00A95CE6">
        <w:trPr>
          <w:cantSplit/>
        </w:trPr>
        <w:tc>
          <w:tcPr>
            <w:tcW w:w="1404" w:type="dxa"/>
            <w:tcMar>
              <w:top w:w="57" w:type="dxa"/>
              <w:bottom w:w="57" w:type="dxa"/>
            </w:tcMar>
          </w:tcPr>
          <w:p w:rsidR="007E7DC6" w:rsidRPr="006A3E9C" w:rsidRDefault="007E7DC6" w:rsidP="00A95CE6">
            <w:pPr>
              <w:tabs>
                <w:tab w:val="left" w:pos="0"/>
              </w:tabs>
              <w:spacing w:after="60"/>
              <w:rPr>
                <w:rFonts w:ascii="Sylfaen" w:hAnsi="Sylfaen"/>
                <w:b/>
                <w:lang w:val="hy-AM"/>
              </w:rPr>
            </w:pPr>
            <w:r w:rsidRPr="007814DD">
              <w:rPr>
                <w:rFonts w:ascii="Sylfaen" w:hAnsi="Sylfaen"/>
                <w:b/>
                <w:color w:val="000000" w:themeColor="text1"/>
                <w:sz w:val="20"/>
                <w:szCs w:val="20"/>
                <w:lang w:val="hy-AM"/>
              </w:rPr>
              <w:t>Basic Qualifications</w:t>
            </w:r>
          </w:p>
        </w:tc>
        <w:tc>
          <w:tcPr>
            <w:tcW w:w="4721" w:type="dxa"/>
            <w:tcMar>
              <w:top w:w="57" w:type="dxa"/>
              <w:bottom w:w="57" w:type="dxa"/>
            </w:tcMar>
          </w:tcPr>
          <w:p w:rsidR="007E7DC6" w:rsidRPr="00DD7C03"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Knowledge of 1C and Magento programs will be considered an advantage</w:t>
            </w:r>
            <w:r>
              <w:rPr>
                <w:rFonts w:ascii="arianamu" w:hAnsi="arianamu"/>
                <w:lang w:eastAsia="en-GB"/>
              </w:rPr>
              <w:t>.</w:t>
            </w:r>
          </w:p>
          <w:p w:rsidR="007E7DC6" w:rsidRPr="00DD7C03"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The use of SEO tools will be considered as an advantage</w:t>
            </w:r>
            <w:r>
              <w:rPr>
                <w:rFonts w:ascii="arianamu" w:hAnsi="arianamu"/>
                <w:lang w:eastAsia="en-GB"/>
              </w:rPr>
              <w:t>.</w:t>
            </w:r>
          </w:p>
          <w:p w:rsidR="007E7DC6" w:rsidRPr="006A3E9C" w:rsidRDefault="007E7DC6" w:rsidP="007E7DC6">
            <w:pPr>
              <w:numPr>
                <w:ilvl w:val="0"/>
                <w:numId w:val="22"/>
              </w:numPr>
              <w:shd w:val="clear" w:color="auto" w:fill="FFFFFF"/>
              <w:spacing w:line="375" w:lineRule="atLeast"/>
              <w:ind w:left="720"/>
              <w:rPr>
                <w:rFonts w:ascii="arianamu" w:hAnsi="arianamu"/>
                <w:lang w:val="hy-AM" w:eastAsia="en-GB"/>
              </w:rPr>
            </w:pPr>
            <w:r w:rsidRPr="00DD7C03">
              <w:rPr>
                <w:rFonts w:ascii="arianamu" w:hAnsi="arianamu"/>
                <w:lang w:val="hy-AM" w:eastAsia="en-GB"/>
              </w:rPr>
              <w:t>Basic HTML knowledge will be considered as an advantage</w:t>
            </w:r>
            <w:r>
              <w:rPr>
                <w:rFonts w:ascii="arianamu" w:hAnsi="arianamu"/>
                <w:lang w:eastAsia="en-GB"/>
              </w:rPr>
              <w:t>.</w:t>
            </w:r>
          </w:p>
          <w:p w:rsidR="007E7DC6" w:rsidRPr="006A3E9C" w:rsidRDefault="007E7DC6" w:rsidP="00A95CE6">
            <w:pPr>
              <w:spacing w:after="60"/>
              <w:ind w:left="720"/>
              <w:contextualSpacing/>
              <w:rPr>
                <w:rFonts w:ascii="Sylfaen" w:hAnsi="Sylfaen"/>
                <w:lang w:val="hy-AM"/>
              </w:rPr>
            </w:pPr>
          </w:p>
        </w:tc>
        <w:tc>
          <w:tcPr>
            <w:tcW w:w="3775" w:type="dxa"/>
          </w:tcPr>
          <w:p w:rsidR="007E7DC6" w:rsidRPr="006A3E9C" w:rsidRDefault="007E7DC6" w:rsidP="00A95CE6">
            <w:pPr>
              <w:spacing w:after="60"/>
              <w:ind w:left="163"/>
              <w:contextualSpacing/>
              <w:rPr>
                <w:rFonts w:ascii="Sylfaen" w:hAnsi="Sylfaen"/>
                <w:lang w:val="hy-AM"/>
              </w:rPr>
            </w:pPr>
          </w:p>
        </w:tc>
      </w:tr>
    </w:tbl>
    <w:p w:rsidR="00F02A4F" w:rsidRPr="007E7DC6" w:rsidRDefault="00F02A4F" w:rsidP="00F02A4F">
      <w:pPr>
        <w:tabs>
          <w:tab w:val="left" w:pos="0"/>
        </w:tabs>
        <w:spacing w:after="60"/>
        <w:jc w:val="both"/>
        <w:rPr>
          <w:rFonts w:ascii="Sylfaen" w:hAnsi="Sylfaen" w:cs="Arial"/>
          <w:b/>
          <w:sz w:val="22"/>
          <w:szCs w:val="22"/>
        </w:rPr>
      </w:pPr>
    </w:p>
    <w:p w:rsidR="0052273D" w:rsidRDefault="005552F1" w:rsidP="0052273D">
      <w:pPr>
        <w:tabs>
          <w:tab w:val="left" w:pos="0"/>
        </w:tabs>
        <w:spacing w:after="60"/>
        <w:jc w:val="both"/>
        <w:rPr>
          <w:rFonts w:ascii="Sylfaen" w:hAnsi="Sylfaen" w:cs="Arial"/>
          <w:bCs/>
        </w:rPr>
      </w:pPr>
      <w:r w:rsidRPr="0014394D">
        <w:rPr>
          <w:rFonts w:ascii="Sylfaen" w:hAnsi="Sylfaen" w:cs="Arial"/>
          <w:b/>
          <w:lang w:val="hy-AM"/>
        </w:rPr>
        <w:t xml:space="preserve">* </w:t>
      </w:r>
      <w:r w:rsidR="0052273D" w:rsidRPr="0052273D">
        <w:rPr>
          <w:rFonts w:ascii="Sylfaen" w:hAnsi="Sylfaen" w:cs="Arial"/>
          <w:bCs/>
          <w:lang w:val="hy-AM"/>
        </w:rPr>
        <w:t>To certify the experience and qualification requirements, submit at least 1 contract for the performance of similar works and/or the existence of at least one of the following documents certifying the performed works: reference, opinion, letter of recommendation, handover-acceptance act of works.</w:t>
      </w:r>
    </w:p>
    <w:p w:rsidR="00DA0F0D" w:rsidRDefault="00DA0F0D" w:rsidP="00DA0F0D">
      <w:pPr>
        <w:numPr>
          <w:ilvl w:val="0"/>
          <w:numId w:val="24"/>
        </w:numPr>
        <w:spacing w:before="120" w:after="120"/>
        <w:ind w:left="360"/>
        <w:jc w:val="both"/>
        <w:rPr>
          <w:rFonts w:ascii="Sylfaen" w:hAnsi="Sylfaen" w:cs="Arial"/>
          <w:b/>
          <w:lang w:val="hy-AM"/>
        </w:rPr>
      </w:pPr>
      <w:r>
        <w:rPr>
          <w:rFonts w:ascii="Sylfaen" w:hAnsi="Sylfaen" w:cs="Arial"/>
          <w:b/>
        </w:rPr>
        <w:t>Evaluation</w:t>
      </w:r>
    </w:p>
    <w:p w:rsidR="007E7DC6" w:rsidRDefault="007E7DC6" w:rsidP="007E7DC6">
      <w:pPr>
        <w:spacing w:before="120" w:after="120"/>
        <w:jc w:val="both"/>
        <w:rPr>
          <w:rFonts w:ascii="Sylfaen" w:hAnsi="Sylfaen" w:cs="Arial"/>
          <w:b/>
          <w:lang w:val="hy-AM"/>
        </w:rPr>
      </w:pPr>
      <w:r w:rsidRPr="006A3E9C">
        <w:rPr>
          <w:rFonts w:ascii="Sylfaen" w:hAnsi="Sylfaen" w:cs="Arial"/>
          <w:b/>
          <w:lang w:val="hy-AM"/>
        </w:rPr>
        <w:t>8</w:t>
      </w:r>
      <w:r w:rsidRPr="006A3E9C">
        <w:rPr>
          <w:b/>
          <w:lang w:val="hy-AM"/>
        </w:rPr>
        <w:t>․</w:t>
      </w:r>
      <w:r w:rsidRPr="006A3E9C">
        <w:rPr>
          <w:rFonts w:ascii="Sylfaen" w:hAnsi="Sylfaen" w:cs="Arial"/>
          <w:b/>
          <w:lang w:val="hy-AM"/>
        </w:rPr>
        <w:t xml:space="preserve"> </w:t>
      </w:r>
      <w:r>
        <w:rPr>
          <w:rFonts w:ascii="Sylfaen" w:hAnsi="Sylfaen" w:cs="Arial"/>
          <w:b/>
        </w:rPr>
        <w:t>Evaluation</w:t>
      </w:r>
    </w:p>
    <w:p w:rsidR="007E7DC6" w:rsidRDefault="007E7DC6" w:rsidP="007E7DC6">
      <w:pPr>
        <w:pStyle w:val="aff"/>
        <w:tabs>
          <w:tab w:val="left" w:pos="0"/>
        </w:tabs>
        <w:autoSpaceDE w:val="0"/>
        <w:autoSpaceDN w:val="0"/>
        <w:adjustRightInd w:val="0"/>
        <w:spacing w:after="60"/>
        <w:ind w:left="0"/>
        <w:rPr>
          <w:rFonts w:ascii="Sylfaen" w:hAnsi="Sylfaen" w:cs="Arial"/>
          <w:i/>
          <w:u w:val="single"/>
        </w:rPr>
      </w:pPr>
      <w:r w:rsidRPr="00995144">
        <w:rPr>
          <w:rFonts w:ascii="Sylfaen" w:hAnsi="Sylfaen" w:cs="Arial"/>
          <w:i/>
          <w:u w:val="single"/>
          <w:lang w:val="hy-AM"/>
        </w:rPr>
        <w:t>An individual consultant should be evaluated according to the following methodology:</w:t>
      </w:r>
    </w:p>
    <w:p w:rsidR="007E7DC6" w:rsidRDefault="007E7DC6" w:rsidP="007E7DC6">
      <w:pPr>
        <w:pStyle w:val="aff"/>
        <w:tabs>
          <w:tab w:val="left" w:pos="0"/>
        </w:tabs>
        <w:autoSpaceDE w:val="0"/>
        <w:autoSpaceDN w:val="0"/>
        <w:adjustRightInd w:val="0"/>
        <w:spacing w:after="60"/>
        <w:ind w:left="0"/>
        <w:rPr>
          <w:rFonts w:ascii="Sylfaen" w:hAnsi="Sylfaen" w:cs="Arial"/>
          <w:i/>
          <w:u w:val="single"/>
          <w:lang w:val="hy-AM"/>
        </w:rPr>
      </w:pPr>
      <w:r w:rsidRPr="00995144">
        <w:rPr>
          <w:rFonts w:ascii="Sylfaen" w:hAnsi="Sylfaen" w:cs="Arial"/>
          <w:i/>
          <w:u w:val="single"/>
          <w:lang w:val="hy-AM"/>
        </w:rPr>
        <w:t>Summary analysis</w:t>
      </w:r>
      <w:r>
        <w:rPr>
          <w:rFonts w:ascii="Sylfaen" w:hAnsi="Sylfaen" w:cs="Arial"/>
          <w:i/>
          <w:u w:val="single"/>
          <w:lang w:val="hy-AM"/>
        </w:rPr>
        <w:t xml:space="preserve"> </w:t>
      </w:r>
    </w:p>
    <w:p w:rsidR="007E7DC6" w:rsidRDefault="007E7DC6" w:rsidP="007E7DC6">
      <w:pPr>
        <w:pStyle w:val="aff"/>
        <w:tabs>
          <w:tab w:val="left" w:pos="0"/>
        </w:tabs>
        <w:autoSpaceDE w:val="0"/>
        <w:autoSpaceDN w:val="0"/>
        <w:adjustRightInd w:val="0"/>
        <w:spacing w:after="60"/>
        <w:ind w:left="0"/>
        <w:rPr>
          <w:rFonts w:ascii="Sylfaen" w:hAnsi="Sylfaen" w:cs="Arial"/>
          <w:i/>
          <w:lang w:val="hy-AM"/>
        </w:rPr>
      </w:pPr>
      <w:r w:rsidRPr="00995144">
        <w:rPr>
          <w:rFonts w:ascii="Sylfaen" w:hAnsi="Sylfaen" w:cs="Arial"/>
          <w:i/>
          <w:lang w:val="hy-AM"/>
        </w:rPr>
        <w:t xml:space="preserve">When this evaluation method is used, the contract is concluded with an individual consultant whose proposal was evaluated as follows: </w:t>
      </w:r>
      <w:r>
        <w:rPr>
          <w:rFonts w:ascii="Sylfaen" w:hAnsi="Sylfaen" w:cs="Arial"/>
          <w:i/>
          <w:lang w:val="hy-AM"/>
        </w:rPr>
        <w:t xml:space="preserve"> </w:t>
      </w:r>
    </w:p>
    <w:p w:rsidR="007E7DC6" w:rsidRDefault="007E7DC6" w:rsidP="007E7DC6">
      <w:pPr>
        <w:pStyle w:val="aff"/>
        <w:tabs>
          <w:tab w:val="left" w:pos="270"/>
        </w:tabs>
        <w:autoSpaceDE w:val="0"/>
        <w:autoSpaceDN w:val="0"/>
        <w:adjustRightInd w:val="0"/>
        <w:spacing w:after="60"/>
        <w:ind w:left="270" w:hanging="270"/>
        <w:rPr>
          <w:rFonts w:ascii="Sylfaen" w:hAnsi="Sylfaen" w:cs="Arial"/>
          <w:i/>
          <w:lang w:val="hy-AM"/>
        </w:rPr>
      </w:pPr>
      <w:r>
        <w:rPr>
          <w:rFonts w:ascii="Sylfaen" w:hAnsi="Sylfaen" w:cs="Arial"/>
          <w:i/>
        </w:rPr>
        <w:t>a</w:t>
      </w:r>
      <w:r>
        <w:rPr>
          <w:rFonts w:ascii="Sylfaen" w:hAnsi="Sylfaen" w:cs="Arial"/>
          <w:i/>
          <w:lang w:val="hy-AM"/>
        </w:rPr>
        <w:t xml:space="preserve">) </w:t>
      </w:r>
      <w:r w:rsidRPr="00995144">
        <w:rPr>
          <w:rFonts w:ascii="Sylfaen" w:hAnsi="Sylfaen" w:cs="Arial"/>
          <w:i/>
          <w:lang w:val="hy-AM"/>
        </w:rPr>
        <w:t>the one who scores the most points as a result of technical and financial evaluation</w:t>
      </w:r>
      <w:r>
        <w:rPr>
          <w:rFonts w:ascii="Sylfaen" w:hAnsi="Sylfaen" w:cs="Arial"/>
          <w:i/>
          <w:lang w:val="hy-AM"/>
        </w:rPr>
        <w:t xml:space="preserve">  </w:t>
      </w:r>
    </w:p>
    <w:p w:rsidR="007E7DC6" w:rsidRDefault="007E7DC6" w:rsidP="007E7DC6">
      <w:pPr>
        <w:pStyle w:val="aff"/>
        <w:tabs>
          <w:tab w:val="left" w:pos="0"/>
          <w:tab w:val="center" w:pos="4680"/>
        </w:tabs>
        <w:autoSpaceDE w:val="0"/>
        <w:autoSpaceDN w:val="0"/>
        <w:adjustRightInd w:val="0"/>
        <w:spacing w:after="60"/>
        <w:ind w:left="0"/>
        <w:rPr>
          <w:rFonts w:ascii="Sylfaen" w:hAnsi="Sylfaen" w:cs="Arial"/>
          <w:i/>
          <w:lang w:val="hy-AM"/>
        </w:rPr>
      </w:pPr>
      <w:r>
        <w:rPr>
          <w:rFonts w:ascii="Sylfaen" w:hAnsi="Sylfaen" w:cs="Arial"/>
          <w:i/>
          <w:lang w:val="hy-AM"/>
        </w:rPr>
        <w:t xml:space="preserve">* </w:t>
      </w:r>
      <w:r w:rsidRPr="00995144">
        <w:rPr>
          <w:rFonts w:ascii="Sylfaen" w:hAnsi="Sylfaen" w:cs="Arial"/>
          <w:i/>
          <w:lang w:val="hy-AM"/>
        </w:rPr>
        <w:t xml:space="preserve">Technical criteria։ </w:t>
      </w:r>
      <w:r>
        <w:rPr>
          <w:rFonts w:ascii="Sylfaen" w:hAnsi="Sylfaen" w:cs="Arial"/>
          <w:i/>
          <w:lang w:val="hy-AM"/>
        </w:rPr>
        <w:t xml:space="preserve"> 70;</w:t>
      </w:r>
      <w:r>
        <w:rPr>
          <w:rFonts w:ascii="Sylfaen" w:hAnsi="Sylfaen" w:cs="Arial"/>
          <w:i/>
          <w:lang w:val="hy-AM"/>
        </w:rPr>
        <w:tab/>
      </w:r>
    </w:p>
    <w:p w:rsidR="007E7DC6" w:rsidRDefault="007E7DC6" w:rsidP="007E7DC6">
      <w:pPr>
        <w:pStyle w:val="aff"/>
        <w:tabs>
          <w:tab w:val="left" w:pos="0"/>
        </w:tabs>
        <w:autoSpaceDE w:val="0"/>
        <w:autoSpaceDN w:val="0"/>
        <w:adjustRightInd w:val="0"/>
        <w:spacing w:after="60"/>
        <w:ind w:left="0"/>
        <w:rPr>
          <w:rFonts w:ascii="Sylfaen" w:hAnsi="Sylfaen" w:cs="Arial"/>
          <w:i/>
          <w:lang w:val="hy-AM"/>
        </w:rPr>
      </w:pPr>
      <w:r>
        <w:rPr>
          <w:rFonts w:ascii="Sylfaen" w:hAnsi="Sylfaen" w:cs="Arial"/>
          <w:i/>
          <w:lang w:val="hy-AM"/>
        </w:rPr>
        <w:t xml:space="preserve">* </w:t>
      </w:r>
      <w:proofErr w:type="spellStart"/>
      <w:r>
        <w:rPr>
          <w:rFonts w:ascii="Sylfaen" w:hAnsi="Sylfaen" w:cs="Arial"/>
          <w:i/>
        </w:rPr>
        <w:t>Financial</w:t>
      </w:r>
      <w:proofErr w:type="spellEnd"/>
      <w:r w:rsidRPr="00995144">
        <w:rPr>
          <w:rFonts w:ascii="Sylfaen" w:hAnsi="Sylfaen" w:cs="Arial"/>
          <w:i/>
          <w:lang w:val="hy-AM"/>
        </w:rPr>
        <w:t xml:space="preserve"> criteria։ </w:t>
      </w:r>
      <w:r>
        <w:rPr>
          <w:rFonts w:ascii="Sylfaen" w:hAnsi="Sylfaen" w:cs="Arial"/>
          <w:i/>
          <w:lang w:val="hy-AM"/>
        </w:rPr>
        <w:t xml:space="preserve"> 30;</w:t>
      </w:r>
    </w:p>
    <w:p w:rsidR="007E7DC6" w:rsidRPr="00995144" w:rsidRDefault="007E7DC6" w:rsidP="007E7DC6">
      <w:pPr>
        <w:tabs>
          <w:tab w:val="left" w:pos="0"/>
        </w:tabs>
        <w:spacing w:after="60"/>
        <w:rPr>
          <w:rFonts w:ascii="Sylfaen" w:hAnsi="Sylfaen" w:cs="Arial"/>
          <w:i/>
        </w:rPr>
      </w:pPr>
      <w:r>
        <w:rPr>
          <w:rFonts w:ascii="Sylfaen" w:hAnsi="Sylfaen" w:cs="Arial"/>
          <w:i/>
          <w:lang w:val="hy-AM"/>
        </w:rPr>
        <w:t xml:space="preserve">* </w:t>
      </w:r>
      <w:r w:rsidRPr="00995144">
        <w:rPr>
          <w:rFonts w:ascii="Sylfaen" w:hAnsi="Sylfaen" w:cs="Arial"/>
          <w:i/>
          <w:lang w:val="hy-AM"/>
        </w:rPr>
        <w:t>Only candidates who have scored at least 50 points as a result of a technical assessment will pass a financial assessment</w:t>
      </w:r>
      <w:r>
        <w:rPr>
          <w:rFonts w:ascii="Sylfaen" w:hAnsi="Sylfaen" w:cs="Arial"/>
          <w:i/>
        </w:rPr>
        <w:t>.</w:t>
      </w:r>
    </w:p>
    <w:p w:rsidR="007E7DC6" w:rsidRPr="00DD7C03" w:rsidRDefault="007E7DC6" w:rsidP="007E7DC6">
      <w:pPr>
        <w:spacing w:before="120" w:after="120"/>
        <w:jc w:val="both"/>
        <w:rPr>
          <w:rFonts w:ascii="Sylfaen" w:hAnsi="Sylfaen"/>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7020"/>
        <w:gridCol w:w="1850"/>
      </w:tblGrid>
      <w:tr w:rsidR="007E7DC6" w:rsidRPr="006A3E9C" w:rsidTr="00A95CE6">
        <w:tc>
          <w:tcPr>
            <w:tcW w:w="1728" w:type="dxa"/>
          </w:tcPr>
          <w:p w:rsidR="007E7DC6" w:rsidRPr="00995144" w:rsidRDefault="007E7DC6" w:rsidP="00A95CE6">
            <w:pPr>
              <w:tabs>
                <w:tab w:val="left" w:pos="0"/>
              </w:tabs>
              <w:spacing w:after="60"/>
              <w:rPr>
                <w:rFonts w:ascii="Sylfaen" w:hAnsi="Sylfaen"/>
                <w:b/>
              </w:rPr>
            </w:pPr>
            <w:r>
              <w:rPr>
                <w:rFonts w:ascii="Sylfaen" w:hAnsi="Sylfaen" w:cs="Arial"/>
                <w:b/>
                <w:i/>
                <w:u w:val="single"/>
              </w:rPr>
              <w:t>Technical</w:t>
            </w:r>
          </w:p>
        </w:tc>
        <w:tc>
          <w:tcPr>
            <w:tcW w:w="7020" w:type="dxa"/>
          </w:tcPr>
          <w:p w:rsidR="007E7DC6" w:rsidRPr="006A3E9C" w:rsidRDefault="007E7DC6" w:rsidP="00A95CE6">
            <w:pPr>
              <w:tabs>
                <w:tab w:val="left" w:pos="0"/>
              </w:tabs>
              <w:spacing w:after="60"/>
              <w:rPr>
                <w:rFonts w:ascii="Sylfaen" w:hAnsi="Sylfaen" w:cs="Arial"/>
                <w:b/>
                <w:i/>
                <w:lang w:val="hy-AM"/>
              </w:rPr>
            </w:pPr>
            <w:r>
              <w:rPr>
                <w:rFonts w:ascii="Sylfaen" w:hAnsi="Sylfaen" w:cs="Arial"/>
                <w:b/>
                <w:i/>
              </w:rPr>
              <w:t>Description</w:t>
            </w:r>
          </w:p>
        </w:tc>
        <w:tc>
          <w:tcPr>
            <w:tcW w:w="1850" w:type="dxa"/>
          </w:tcPr>
          <w:p w:rsidR="007E7DC6" w:rsidRPr="006A3E9C" w:rsidRDefault="007E7DC6" w:rsidP="00A95CE6">
            <w:pPr>
              <w:tabs>
                <w:tab w:val="left" w:pos="0"/>
              </w:tabs>
              <w:spacing w:after="60"/>
              <w:rPr>
                <w:rFonts w:ascii="Sylfaen" w:hAnsi="Sylfaen" w:cs="Arial"/>
                <w:b/>
                <w:i/>
                <w:lang w:val="hy-AM"/>
              </w:rPr>
            </w:pPr>
            <w:r w:rsidRPr="00995144">
              <w:rPr>
                <w:rFonts w:ascii="Sylfaen" w:hAnsi="Sylfaen" w:cs="Arial"/>
                <w:b/>
                <w:i/>
                <w:lang w:val="hy-AM"/>
              </w:rPr>
              <w:t>Maximum score</w:t>
            </w:r>
          </w:p>
        </w:tc>
      </w:tr>
      <w:tr w:rsidR="007E7DC6" w:rsidRPr="006A3E9C" w:rsidTr="00A95CE6">
        <w:tc>
          <w:tcPr>
            <w:tcW w:w="8748" w:type="dxa"/>
            <w:gridSpan w:val="2"/>
          </w:tcPr>
          <w:p w:rsidR="007E7DC6" w:rsidRPr="006A3E9C" w:rsidRDefault="007E7DC6" w:rsidP="00A95CE6">
            <w:pPr>
              <w:tabs>
                <w:tab w:val="left" w:pos="0"/>
              </w:tabs>
              <w:spacing w:after="60"/>
              <w:rPr>
                <w:rFonts w:ascii="Sylfaen" w:hAnsi="Sylfaen" w:cs="Arial"/>
                <w:i/>
                <w:lang w:val="hy-AM"/>
              </w:rPr>
            </w:pPr>
            <w:r w:rsidRPr="00995144">
              <w:rPr>
                <w:rFonts w:ascii="Sylfaen" w:hAnsi="Sylfaen" w:cs="Arial"/>
                <w:i/>
                <w:u w:val="single"/>
                <w:lang w:val="hy-AM"/>
              </w:rPr>
              <w:t>Technical</w:t>
            </w:r>
          </w:p>
        </w:tc>
        <w:tc>
          <w:tcPr>
            <w:tcW w:w="1850" w:type="dxa"/>
          </w:tcPr>
          <w:p w:rsidR="007E7DC6" w:rsidRPr="006A3E9C" w:rsidRDefault="007E7DC6" w:rsidP="00A95CE6">
            <w:pPr>
              <w:tabs>
                <w:tab w:val="left" w:pos="0"/>
              </w:tabs>
              <w:spacing w:after="60"/>
              <w:rPr>
                <w:rFonts w:ascii="Sylfaen" w:hAnsi="Sylfaen" w:cs="Arial"/>
                <w:i/>
                <w:lang w:val="hy-AM"/>
              </w:rPr>
            </w:pPr>
            <w:r w:rsidRPr="006A3E9C">
              <w:rPr>
                <w:rFonts w:ascii="Sylfaen" w:hAnsi="Sylfaen" w:cs="Arial"/>
                <w:i/>
                <w:lang w:val="hy-AM"/>
              </w:rPr>
              <w:t>70</w:t>
            </w:r>
          </w:p>
        </w:tc>
      </w:tr>
      <w:tr w:rsidR="007E7DC6" w:rsidRPr="006A3E9C" w:rsidTr="00A95CE6">
        <w:tc>
          <w:tcPr>
            <w:tcW w:w="1728" w:type="dxa"/>
          </w:tcPr>
          <w:p w:rsidR="007E7DC6" w:rsidRPr="006A3E9C" w:rsidRDefault="007E7DC6" w:rsidP="007E7DC6">
            <w:pPr>
              <w:pStyle w:val="aff"/>
              <w:numPr>
                <w:ilvl w:val="0"/>
                <w:numId w:val="25"/>
              </w:numPr>
              <w:tabs>
                <w:tab w:val="left" w:pos="180"/>
              </w:tabs>
              <w:spacing w:after="60"/>
              <w:ind w:left="0" w:firstLine="0"/>
              <w:contextualSpacing/>
              <w:rPr>
                <w:rFonts w:ascii="Sylfaen" w:hAnsi="Sylfaen" w:cs="Arial"/>
                <w:i/>
                <w:lang w:val="hy-AM"/>
              </w:rPr>
            </w:pPr>
            <w:proofErr w:type="spellStart"/>
            <w:r>
              <w:rPr>
                <w:rFonts w:ascii="Sylfaen" w:hAnsi="Sylfaen" w:cs="Arial"/>
                <w:i/>
              </w:rPr>
              <w:t>Criteria</w:t>
            </w:r>
            <w:proofErr w:type="spellEnd"/>
            <w:r>
              <w:rPr>
                <w:rFonts w:ascii="Sylfaen" w:hAnsi="Sylfaen" w:cs="Arial"/>
                <w:i/>
              </w:rPr>
              <w:t xml:space="preserve"> A</w:t>
            </w:r>
          </w:p>
        </w:tc>
        <w:tc>
          <w:tcPr>
            <w:tcW w:w="7020" w:type="dxa"/>
            <w:shd w:val="clear" w:color="auto" w:fill="auto"/>
          </w:tcPr>
          <w:p w:rsidR="007E7DC6" w:rsidRPr="006A3E9C" w:rsidRDefault="007E7DC6" w:rsidP="00A95CE6">
            <w:pPr>
              <w:shd w:val="clear" w:color="auto" w:fill="FFFFFF"/>
              <w:spacing w:line="375" w:lineRule="atLeast"/>
              <w:rPr>
                <w:rFonts w:ascii="arianamu" w:hAnsi="arianamu"/>
                <w:lang w:val="hy-AM" w:eastAsia="en-GB"/>
              </w:rPr>
            </w:pPr>
            <w:r w:rsidRPr="00DD7C03">
              <w:rPr>
                <w:rFonts w:ascii="arianamu" w:hAnsi="arianamu"/>
                <w:lang w:val="hy-AM" w:eastAsia="en-GB"/>
              </w:rPr>
              <w:t>Higher education in IT, web programming or other related fields</w:t>
            </w:r>
          </w:p>
        </w:tc>
        <w:tc>
          <w:tcPr>
            <w:tcW w:w="1850" w:type="dxa"/>
          </w:tcPr>
          <w:p w:rsidR="007E7DC6" w:rsidRPr="006A3E9C" w:rsidRDefault="007E7DC6" w:rsidP="00A95CE6">
            <w:pPr>
              <w:tabs>
                <w:tab w:val="left" w:pos="0"/>
              </w:tabs>
              <w:spacing w:after="60"/>
              <w:rPr>
                <w:rFonts w:ascii="Sylfaen" w:hAnsi="Sylfaen" w:cs="Arial"/>
                <w:i/>
                <w:lang w:val="hy-AM"/>
              </w:rPr>
            </w:pPr>
            <w:r w:rsidRPr="006A3E9C">
              <w:rPr>
                <w:rFonts w:ascii="Sylfaen" w:hAnsi="Sylfaen" w:cs="Arial"/>
                <w:i/>
                <w:lang w:val="hy-AM"/>
              </w:rPr>
              <w:t>25</w:t>
            </w:r>
          </w:p>
        </w:tc>
      </w:tr>
      <w:tr w:rsidR="007E7DC6" w:rsidRPr="006A3E9C" w:rsidTr="00A95CE6">
        <w:tc>
          <w:tcPr>
            <w:tcW w:w="1728" w:type="dxa"/>
          </w:tcPr>
          <w:p w:rsidR="007E7DC6" w:rsidRPr="006A3E9C" w:rsidRDefault="007E7DC6" w:rsidP="007E7DC6">
            <w:pPr>
              <w:pStyle w:val="aff"/>
              <w:numPr>
                <w:ilvl w:val="0"/>
                <w:numId w:val="25"/>
              </w:numPr>
              <w:tabs>
                <w:tab w:val="left" w:pos="180"/>
              </w:tabs>
              <w:spacing w:after="60"/>
              <w:ind w:left="0" w:firstLine="0"/>
              <w:contextualSpacing/>
              <w:rPr>
                <w:rFonts w:ascii="Sylfaen" w:hAnsi="Sylfaen" w:cs="Arial"/>
                <w:i/>
                <w:lang w:val="hy-AM"/>
              </w:rPr>
            </w:pPr>
            <w:proofErr w:type="spellStart"/>
            <w:r>
              <w:rPr>
                <w:rFonts w:ascii="Sylfaen" w:hAnsi="Sylfaen" w:cs="Arial"/>
                <w:i/>
              </w:rPr>
              <w:t>Criteria</w:t>
            </w:r>
            <w:proofErr w:type="spellEnd"/>
            <w:r>
              <w:rPr>
                <w:rFonts w:ascii="Sylfaen" w:hAnsi="Sylfaen" w:cs="Arial"/>
                <w:i/>
              </w:rPr>
              <w:t xml:space="preserve"> B</w:t>
            </w:r>
          </w:p>
        </w:tc>
        <w:tc>
          <w:tcPr>
            <w:tcW w:w="7020" w:type="dxa"/>
            <w:shd w:val="clear" w:color="auto" w:fill="auto"/>
          </w:tcPr>
          <w:p w:rsidR="007E7DC6" w:rsidRPr="006A3E9C" w:rsidRDefault="007E7DC6" w:rsidP="00A95CE6">
            <w:pPr>
              <w:shd w:val="clear" w:color="auto" w:fill="FFFFFF"/>
              <w:spacing w:line="375" w:lineRule="atLeast"/>
              <w:rPr>
                <w:rFonts w:ascii="arianamu" w:hAnsi="arianamu"/>
                <w:lang w:val="hy-AM" w:eastAsia="en-GB"/>
              </w:rPr>
            </w:pPr>
            <w:r w:rsidRPr="00DD7C03">
              <w:rPr>
                <w:rFonts w:ascii="arianamu" w:hAnsi="arianamu"/>
                <w:lang w:val="hy-AM" w:eastAsia="en-GB"/>
              </w:rPr>
              <w:t>At least 3 years of respective work experience</w:t>
            </w:r>
          </w:p>
        </w:tc>
        <w:tc>
          <w:tcPr>
            <w:tcW w:w="1850" w:type="dxa"/>
          </w:tcPr>
          <w:p w:rsidR="007E7DC6" w:rsidRPr="006A3E9C" w:rsidRDefault="007E7DC6" w:rsidP="00A95CE6">
            <w:pPr>
              <w:tabs>
                <w:tab w:val="left" w:pos="0"/>
              </w:tabs>
              <w:spacing w:after="60"/>
              <w:rPr>
                <w:rFonts w:ascii="Sylfaen" w:hAnsi="Sylfaen" w:cs="Arial"/>
                <w:i/>
                <w:lang w:val="hy-AM"/>
              </w:rPr>
            </w:pPr>
            <w:r w:rsidRPr="006A3E9C">
              <w:rPr>
                <w:rFonts w:ascii="Sylfaen" w:hAnsi="Sylfaen" w:cs="Arial"/>
                <w:i/>
                <w:lang w:val="hy-AM"/>
              </w:rPr>
              <w:t>25</w:t>
            </w:r>
          </w:p>
        </w:tc>
      </w:tr>
      <w:tr w:rsidR="007E7DC6" w:rsidRPr="006A3E9C" w:rsidTr="00A95CE6">
        <w:tc>
          <w:tcPr>
            <w:tcW w:w="1728" w:type="dxa"/>
          </w:tcPr>
          <w:p w:rsidR="007E7DC6" w:rsidRPr="006A3E9C" w:rsidRDefault="007E7DC6" w:rsidP="007E7DC6">
            <w:pPr>
              <w:pStyle w:val="aff"/>
              <w:numPr>
                <w:ilvl w:val="0"/>
                <w:numId w:val="25"/>
              </w:numPr>
              <w:tabs>
                <w:tab w:val="left" w:pos="180"/>
              </w:tabs>
              <w:spacing w:after="60"/>
              <w:ind w:left="0" w:firstLine="0"/>
              <w:contextualSpacing/>
              <w:rPr>
                <w:rFonts w:ascii="Sylfaen" w:hAnsi="Sylfaen" w:cs="Arial"/>
                <w:i/>
                <w:lang w:val="hy-AM"/>
              </w:rPr>
            </w:pPr>
            <w:proofErr w:type="spellStart"/>
            <w:r>
              <w:rPr>
                <w:rFonts w:ascii="Sylfaen" w:hAnsi="Sylfaen" w:cs="Arial"/>
                <w:i/>
              </w:rPr>
              <w:t>Criteria</w:t>
            </w:r>
            <w:proofErr w:type="spellEnd"/>
            <w:r>
              <w:rPr>
                <w:rFonts w:ascii="Sylfaen" w:hAnsi="Sylfaen" w:cs="Arial"/>
                <w:i/>
              </w:rPr>
              <w:t xml:space="preserve"> C</w:t>
            </w:r>
          </w:p>
        </w:tc>
        <w:tc>
          <w:tcPr>
            <w:tcW w:w="7020" w:type="dxa"/>
            <w:shd w:val="clear" w:color="auto" w:fill="auto"/>
          </w:tcPr>
          <w:p w:rsidR="007E7DC6" w:rsidRPr="006A3E9C" w:rsidRDefault="007E7DC6" w:rsidP="00A95CE6">
            <w:pPr>
              <w:shd w:val="clear" w:color="auto" w:fill="FFFFFF"/>
              <w:spacing w:line="375" w:lineRule="atLeast"/>
              <w:rPr>
                <w:rFonts w:ascii="arianamu" w:hAnsi="arianamu"/>
                <w:lang w:val="hy-AM" w:eastAsia="en-GB"/>
              </w:rPr>
            </w:pPr>
            <w:r>
              <w:rPr>
                <w:rFonts w:ascii="arianamu" w:hAnsi="arianamu"/>
                <w:lang w:eastAsia="en-GB"/>
              </w:rPr>
              <w:t>E</w:t>
            </w:r>
            <w:r w:rsidRPr="00DD7C03">
              <w:rPr>
                <w:rFonts w:ascii="arianamu" w:hAnsi="arianamu"/>
                <w:lang w:val="hy-AM" w:eastAsia="en-GB"/>
              </w:rPr>
              <w:t>xperience in website programming</w:t>
            </w:r>
            <w:r>
              <w:rPr>
                <w:rFonts w:ascii="arianamu" w:hAnsi="arianamu"/>
                <w:lang w:eastAsia="en-GB"/>
              </w:rPr>
              <w:t xml:space="preserve"> for at</w:t>
            </w:r>
            <w:r w:rsidRPr="00DD7C03">
              <w:rPr>
                <w:rFonts w:ascii="arianamu" w:hAnsi="arianamu"/>
                <w:lang w:val="hy-AM" w:eastAsia="en-GB"/>
              </w:rPr>
              <w:t xml:space="preserve"> least 1</w:t>
            </w:r>
            <w:r>
              <w:rPr>
                <w:rFonts w:ascii="arianamu" w:hAnsi="arianamu"/>
                <w:lang w:eastAsia="en-GB"/>
              </w:rPr>
              <w:t xml:space="preserve"> website</w:t>
            </w:r>
          </w:p>
        </w:tc>
        <w:tc>
          <w:tcPr>
            <w:tcW w:w="1850" w:type="dxa"/>
          </w:tcPr>
          <w:p w:rsidR="007E7DC6" w:rsidRPr="006A3E9C" w:rsidRDefault="007E7DC6" w:rsidP="00A95CE6">
            <w:pPr>
              <w:tabs>
                <w:tab w:val="left" w:pos="0"/>
              </w:tabs>
              <w:spacing w:after="60"/>
              <w:rPr>
                <w:rFonts w:ascii="Sylfaen" w:hAnsi="Sylfaen" w:cs="Arial"/>
                <w:i/>
                <w:lang w:val="hy-AM"/>
              </w:rPr>
            </w:pPr>
            <w:r w:rsidRPr="006A3E9C">
              <w:rPr>
                <w:rFonts w:ascii="Sylfaen" w:hAnsi="Sylfaen" w:cs="Arial"/>
                <w:i/>
                <w:lang w:val="hy-AM"/>
              </w:rPr>
              <w:t>20</w:t>
            </w:r>
          </w:p>
        </w:tc>
      </w:tr>
      <w:tr w:rsidR="007E7DC6" w:rsidRPr="006A3E9C" w:rsidTr="00A95CE6">
        <w:tc>
          <w:tcPr>
            <w:tcW w:w="8748" w:type="dxa"/>
            <w:gridSpan w:val="2"/>
          </w:tcPr>
          <w:p w:rsidR="007E7DC6" w:rsidRPr="006A3E9C" w:rsidRDefault="007E7DC6" w:rsidP="00A95CE6">
            <w:pPr>
              <w:tabs>
                <w:tab w:val="left" w:pos="0"/>
              </w:tabs>
              <w:spacing w:after="60"/>
              <w:rPr>
                <w:rFonts w:ascii="Sylfaen" w:hAnsi="Sylfaen" w:cs="Arial"/>
                <w:i/>
                <w:lang w:val="hy-AM"/>
              </w:rPr>
            </w:pPr>
            <w:r>
              <w:rPr>
                <w:rFonts w:ascii="Sylfaen" w:hAnsi="Sylfaen" w:cs="Arial"/>
                <w:i/>
                <w:u w:val="single"/>
              </w:rPr>
              <w:t>Financial</w:t>
            </w:r>
          </w:p>
        </w:tc>
        <w:tc>
          <w:tcPr>
            <w:tcW w:w="1850" w:type="dxa"/>
            <w:shd w:val="clear" w:color="auto" w:fill="auto"/>
          </w:tcPr>
          <w:p w:rsidR="007E7DC6" w:rsidRPr="006A3E9C" w:rsidRDefault="007E7DC6" w:rsidP="00A95CE6">
            <w:pPr>
              <w:tabs>
                <w:tab w:val="left" w:pos="0"/>
              </w:tabs>
              <w:spacing w:after="60"/>
              <w:rPr>
                <w:rFonts w:ascii="Sylfaen" w:hAnsi="Sylfaen" w:cs="Arial"/>
                <w:i/>
                <w:lang w:val="hy-AM"/>
              </w:rPr>
            </w:pPr>
            <w:r w:rsidRPr="006A3E9C">
              <w:rPr>
                <w:rFonts w:ascii="Sylfaen" w:hAnsi="Sylfaen" w:cs="Arial"/>
                <w:i/>
                <w:lang w:val="hy-AM"/>
              </w:rPr>
              <w:t>30</w:t>
            </w:r>
          </w:p>
        </w:tc>
      </w:tr>
    </w:tbl>
    <w:p w:rsidR="0052273D" w:rsidRDefault="0052273D" w:rsidP="0052273D">
      <w:pPr>
        <w:tabs>
          <w:tab w:val="left" w:pos="0"/>
        </w:tabs>
        <w:spacing w:after="60"/>
        <w:jc w:val="both"/>
        <w:rPr>
          <w:rFonts w:ascii="Sylfaen" w:hAnsi="Sylfaen" w:cs="Arial"/>
          <w:bCs/>
        </w:rPr>
      </w:pPr>
    </w:p>
    <w:p w:rsidR="0052273D" w:rsidRDefault="0052273D" w:rsidP="0052273D">
      <w:pPr>
        <w:tabs>
          <w:tab w:val="left" w:pos="0"/>
        </w:tabs>
        <w:spacing w:after="60"/>
        <w:jc w:val="both"/>
        <w:rPr>
          <w:rFonts w:ascii="Sylfaen" w:hAnsi="Sylfaen" w:cs="Arial"/>
          <w:bCs/>
        </w:rPr>
      </w:pPr>
    </w:p>
    <w:p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rsidR="0052273D" w:rsidRDefault="0052273D" w:rsidP="0052273D">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rsidR="0052273D" w:rsidRDefault="0052273D" w:rsidP="0052273D">
      <w:pPr>
        <w:pStyle w:val="a3"/>
        <w:spacing w:line="240" w:lineRule="auto"/>
        <w:ind w:firstLine="0"/>
        <w:rPr>
          <w:rFonts w:ascii="Sylfaen" w:hAnsi="Sylfaen"/>
          <w:i w:val="0"/>
          <w:sz w:val="24"/>
          <w:szCs w:val="24"/>
          <w:lang w:val="af-ZA"/>
        </w:rPr>
      </w:pPr>
    </w:p>
    <w:p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rsidR="00132C41" w:rsidRPr="00132C41" w:rsidRDefault="00132C41" w:rsidP="00132C41">
      <w:pPr>
        <w:jc w:val="both"/>
        <w:rPr>
          <w:rFonts w:ascii="Sylfaen" w:hAnsi="Sylfaen" w:cs="Sylfaen"/>
        </w:rPr>
      </w:pPr>
      <w:r w:rsidRPr="00132C41">
        <w:rPr>
          <w:rFonts w:ascii="Sylfaen" w:hAnsi="Sylfaen" w:cs="Sylfaen"/>
        </w:rPr>
        <w:t xml:space="preserve">3. Clarification is not provided if the request was made in violation of the time limit set by this section, as well as if the request is outside the scope of the content of this statement. Moreover, the participant is </w:t>
      </w:r>
      <w:r w:rsidRPr="00132C41">
        <w:rPr>
          <w:rFonts w:ascii="Sylfaen" w:hAnsi="Sylfaen" w:cs="Sylfaen"/>
        </w:rPr>
        <w:lastRenderedPageBreak/>
        <w:t>notified in writing about the reasons for not providing an explanation within one calendar day following the day of receiving the request.</w:t>
      </w:r>
    </w:p>
    <w:p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rsidR="005552F1" w:rsidRPr="0014394D" w:rsidRDefault="005552F1" w:rsidP="005552F1">
      <w:pPr>
        <w:jc w:val="both"/>
        <w:rPr>
          <w:rFonts w:ascii="Sylfaen" w:hAnsi="Sylfaen" w:cs="Tahoma"/>
          <w:lang w:val="af-ZA"/>
        </w:rPr>
      </w:pPr>
    </w:p>
    <w:p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rsidR="00132C41" w:rsidRPr="0014394D" w:rsidRDefault="00132C41" w:rsidP="00132C41">
      <w:pPr>
        <w:jc w:val="both"/>
        <w:rPr>
          <w:rFonts w:ascii="Sylfaen" w:hAnsi="Sylfaen"/>
          <w:i/>
          <w:lang w:val="af-ZA"/>
        </w:rPr>
      </w:pPr>
    </w:p>
    <w:p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w:t>
      </w:r>
      <w:proofErr w:type="gramStart"/>
      <w:r w:rsidRPr="00132C41">
        <w:rPr>
          <w:rFonts w:ascii="Sylfaen" w:hAnsi="Sylfaen" w:cs="Sylfaen"/>
        </w:rPr>
        <w:t xml:space="preserve">to </w:t>
      </w:r>
      <w:r w:rsidR="00DA0F0D" w:rsidRPr="0080781B">
        <w:rPr>
          <w:rFonts w:ascii="GHEA Grapalat" w:hAnsi="GHEA Grapalat"/>
          <w:sz w:val="22"/>
          <w:szCs w:val="22"/>
          <w:lang w:val="af-ZA"/>
        </w:rPr>
        <w:t xml:space="preserve"> </w:t>
      </w:r>
      <w:proofErr w:type="gramEnd"/>
      <w:r w:rsidR="00DA0F0D">
        <w:fldChar w:fldCharType="begin"/>
      </w:r>
      <w:r w:rsidR="00DA0F0D">
        <w:instrText xml:space="preserve"> HYPERLINK "mailto:janna.dadiyan@env.am" </w:instrText>
      </w:r>
      <w:r w:rsidR="00DA0F0D">
        <w:fldChar w:fldCharType="separate"/>
      </w:r>
      <w:r w:rsidR="00DA0F0D" w:rsidRPr="0080781B">
        <w:rPr>
          <w:rStyle w:val="a9"/>
          <w:rFonts w:ascii="GHEA Grapalat" w:hAnsi="GHEA Grapalat"/>
          <w:sz w:val="22"/>
          <w:szCs w:val="22"/>
          <w:lang w:val="af-ZA"/>
        </w:rPr>
        <w:t>janna.dadiyan@env.am</w:t>
      </w:r>
      <w:r w:rsidR="00DA0F0D">
        <w:rPr>
          <w:rStyle w:val="a9"/>
          <w:rFonts w:ascii="GHEA Grapalat" w:hAnsi="GHEA Grapalat"/>
          <w:sz w:val="22"/>
          <w:szCs w:val="22"/>
          <w:lang w:val="af-ZA"/>
        </w:rPr>
        <w:fldChar w:fldCharType="end"/>
      </w:r>
      <w:r w:rsidRPr="00132C41">
        <w:rPr>
          <w:rFonts w:ascii="Sylfaen" w:hAnsi="Sylfaen" w:cs="Sylfaen"/>
        </w:rPr>
        <w:t xml:space="preserve"> or in documentary form with a cover letter, sealed envelope, glued. On the envelope, in the language of the pre-qualification application, the following are indicated:</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a</w:t>
      </w:r>
      <w:proofErr w:type="gramEnd"/>
      <w:r w:rsidRPr="00132C41">
        <w:rPr>
          <w:rFonts w:ascii="Sylfaen" w:hAnsi="Sylfaen" w:cs="Sylfaen"/>
        </w:rPr>
        <w:t>. the name of the client and the place of submission of the application (address);</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b</w:t>
      </w:r>
      <w:proofErr w:type="gramEnd"/>
      <w:r w:rsidRPr="00132C41">
        <w:rPr>
          <w:rFonts w:ascii="Sylfaen" w:hAnsi="Sylfaen" w:cs="Sylfaen"/>
        </w:rPr>
        <w:t>. procedure code.</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c</w:t>
      </w:r>
      <w:proofErr w:type="gramEnd"/>
      <w:r w:rsidRPr="00132C41">
        <w:rPr>
          <w:rFonts w:ascii="Sylfaen" w:hAnsi="Sylfaen" w:cs="Sylfaen"/>
        </w:rPr>
        <w:t>. the words "not to open until the opening session of pre-qualification applications";</w:t>
      </w:r>
    </w:p>
    <w:p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September </w:t>
      </w:r>
      <w:r w:rsidR="00DA0F0D">
        <w:rPr>
          <w:rFonts w:ascii="Sylfaen" w:hAnsi="Sylfaen" w:cs="Sylfaen"/>
        </w:rPr>
        <w:t>0</w:t>
      </w:r>
      <w:r w:rsidR="007E7DC6">
        <w:rPr>
          <w:rFonts w:ascii="Sylfaen" w:hAnsi="Sylfaen" w:cs="Sylfaen"/>
        </w:rPr>
        <w:t>7</w:t>
      </w:r>
      <w:r w:rsidRPr="00132C41">
        <w:rPr>
          <w:rFonts w:ascii="Sylfaen" w:hAnsi="Sylfaen" w:cs="Sylfaen"/>
        </w:rPr>
        <w:t xml:space="preserve">, </w:t>
      </w:r>
      <w:r w:rsidR="00C241A2">
        <w:rPr>
          <w:rFonts w:ascii="Sylfaen" w:hAnsi="Sylfaen" w:cs="Sylfaen"/>
          <w:lang w:val="hy-AM"/>
        </w:rPr>
        <w:t>1</w:t>
      </w:r>
      <w:r w:rsidR="00DA0F0D">
        <w:rPr>
          <w:rFonts w:ascii="Sylfaen" w:hAnsi="Sylfaen" w:cs="Sylfaen"/>
        </w:rPr>
        <w:t>1</w:t>
      </w:r>
      <w:proofErr w:type="gramStart"/>
      <w:r w:rsidR="00C241A2">
        <w:rPr>
          <w:rFonts w:ascii="Sylfaen" w:hAnsi="Sylfaen" w:cs="Sylfaen"/>
          <w:lang w:val="hy-AM"/>
        </w:rPr>
        <w:t>,</w:t>
      </w:r>
      <w:r w:rsidRPr="00132C41">
        <w:rPr>
          <w:rFonts w:ascii="Sylfaen" w:hAnsi="Sylfaen" w:cs="Sylfaen"/>
        </w:rPr>
        <w:t>2023</w:t>
      </w:r>
      <w:proofErr w:type="gramEnd"/>
      <w:r w:rsidRPr="00132C41">
        <w:rPr>
          <w:rFonts w:ascii="Sylfaen" w:hAnsi="Sylfaen" w:cs="Sylfaen"/>
        </w:rPr>
        <w:t xml:space="preserve">. </w:t>
      </w:r>
      <w:proofErr w:type="gramStart"/>
      <w:r w:rsidRPr="00132C41">
        <w:rPr>
          <w:rFonts w:ascii="Sylfaen" w:hAnsi="Sylfaen" w:cs="Sylfaen"/>
        </w:rPr>
        <w:t>at</w:t>
      </w:r>
      <w:proofErr w:type="gramEnd"/>
      <w:r w:rsidRPr="00132C41">
        <w:rPr>
          <w:rFonts w:ascii="Sylfaen" w:hAnsi="Sylfaen" w:cs="Sylfaen"/>
        </w:rPr>
        <w:t xml:space="preserve"> 12:00.</w:t>
      </w:r>
    </w:p>
    <w:p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007E7DC6">
        <w:rPr>
          <w:rFonts w:ascii="Sylfaen" w:hAnsi="Sylfaen" w:cs="Sylfaen"/>
        </w:rPr>
        <w:t>Tigran</w:t>
      </w:r>
      <w:proofErr w:type="spellEnd"/>
      <w:r w:rsidR="007E7DC6">
        <w:rPr>
          <w:rFonts w:ascii="Sylfaen" w:hAnsi="Sylfaen" w:cs="Sylfaen"/>
        </w:rPr>
        <w:t xml:space="preserve"> 65 A</w:t>
      </w:r>
      <w:bookmarkStart w:id="0" w:name="_GoBack"/>
      <w:bookmarkEnd w:id="0"/>
      <w:r w:rsidRPr="00132C41">
        <w:rPr>
          <w:rFonts w:ascii="Sylfaen" w:hAnsi="Sylfaen" w:cs="Sylfaen"/>
        </w:rPr>
        <w:t>.</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spellStart"/>
      <w:r w:rsidRPr="00132C41">
        <w:rPr>
          <w:rFonts w:ascii="Sylfaen" w:hAnsi="Sylfaen" w:cs="Sylfaen"/>
        </w:rPr>
        <w:t>Hovhannes</w:t>
      </w:r>
      <w:proofErr w:type="spellEnd"/>
      <w:r w:rsidRPr="00132C41">
        <w:rPr>
          <w:rFonts w:ascii="Sylfaen" w:hAnsi="Sylfaen" w:cs="Sylfaen"/>
        </w:rPr>
        <w:t xml:space="preserve"> </w:t>
      </w:r>
      <w:proofErr w:type="spellStart"/>
      <w:r w:rsidRPr="00132C41">
        <w:rPr>
          <w:rFonts w:ascii="Sylfaen" w:hAnsi="Sylfaen" w:cs="Sylfaen"/>
        </w:rPr>
        <w:t>Karakhanyan</w:t>
      </w:r>
      <w:proofErr w:type="spellEnd"/>
      <w:r w:rsidRPr="00132C41">
        <w:rPr>
          <w:rFonts w:ascii="Sylfaen" w:hAnsi="Sylfaen" w:cs="Sylfaen"/>
        </w:rPr>
        <w:t xml:space="preserve">, 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rsidR="00132C41" w:rsidRPr="00132C41" w:rsidRDefault="00132C41" w:rsidP="00132C41">
      <w:pPr>
        <w:ind w:firstLine="567"/>
        <w:jc w:val="both"/>
        <w:rPr>
          <w:rFonts w:ascii="Sylfaen" w:hAnsi="Sylfaen" w:cs="Sylfaen"/>
        </w:rPr>
      </w:pPr>
      <w:r w:rsidRPr="00132C41">
        <w:rPr>
          <w:rFonts w:ascii="Sylfaen" w:hAnsi="Sylfaen" w:cs="Sylfaen"/>
        </w:rPr>
        <w:t xml:space="preserve">1) </w:t>
      </w:r>
      <w:proofErr w:type="gramStart"/>
      <w:r w:rsidRPr="00132C41">
        <w:rPr>
          <w:rFonts w:ascii="Sylfaen" w:hAnsi="Sylfaen" w:cs="Sylfaen"/>
        </w:rPr>
        <w:t>a</w:t>
      </w:r>
      <w:proofErr w:type="gramEnd"/>
      <w:r w:rsidRPr="00132C41">
        <w:rPr>
          <w:rFonts w:ascii="Sylfaen" w:hAnsi="Sylfaen" w:cs="Sylfaen"/>
        </w:rPr>
        <w:t xml:space="preserve"> written application to participate in the pre-qualification procedure approved by him, according to Annex No. 1,</w:t>
      </w:r>
    </w:p>
    <w:p w:rsidR="00132C41" w:rsidRPr="00132C41" w:rsidRDefault="00132C41" w:rsidP="00132C41">
      <w:pPr>
        <w:ind w:firstLine="567"/>
        <w:jc w:val="both"/>
        <w:rPr>
          <w:rFonts w:ascii="Sylfaen" w:hAnsi="Sylfaen" w:cs="Sylfaen"/>
        </w:rPr>
      </w:pPr>
      <w:r w:rsidRPr="00132C41">
        <w:rPr>
          <w:rFonts w:ascii="Sylfaen" w:hAnsi="Sylfaen" w:cs="Sylfaen"/>
        </w:rPr>
        <w:t xml:space="preserve">2) </w:t>
      </w:r>
      <w:proofErr w:type="gramStart"/>
      <w:r w:rsidRPr="00132C41">
        <w:rPr>
          <w:rFonts w:ascii="Sylfaen" w:hAnsi="Sylfaen" w:cs="Sylfaen"/>
        </w:rPr>
        <w:t>a</w:t>
      </w:r>
      <w:proofErr w:type="gramEnd"/>
      <w:r w:rsidRPr="00132C41">
        <w:rPr>
          <w:rFonts w:ascii="Sylfaen" w:hAnsi="Sylfaen" w:cs="Sylfaen"/>
        </w:rPr>
        <w:t xml:space="preserve"> statement approved by him about his compliance with the requirements of the qualification criterion "Conformity of professional activity to the activity provided for in the contract" defined by this statement, according to Annex No. 2,</w:t>
      </w:r>
    </w:p>
    <w:p w:rsidR="00132C41" w:rsidRPr="00132C41" w:rsidRDefault="00132C41" w:rsidP="00132C41">
      <w:pPr>
        <w:ind w:firstLine="567"/>
        <w:jc w:val="both"/>
        <w:rPr>
          <w:rFonts w:ascii="Sylfaen" w:hAnsi="Sylfaen" w:cs="Sylfaen"/>
        </w:rPr>
      </w:pPr>
      <w:r w:rsidRPr="00132C41">
        <w:rPr>
          <w:rFonts w:ascii="Sylfaen" w:hAnsi="Sylfaen" w:cs="Sylfaen"/>
        </w:rPr>
        <w:t xml:space="preserve">3) </w:t>
      </w:r>
      <w:proofErr w:type="gramStart"/>
      <w:r w:rsidRPr="00132C41">
        <w:rPr>
          <w:rFonts w:ascii="Sylfaen" w:hAnsi="Sylfaen" w:cs="Sylfaen"/>
        </w:rPr>
        <w:t>natural</w:t>
      </w:r>
      <w:proofErr w:type="gramEnd"/>
      <w:r w:rsidRPr="00132C41">
        <w:rPr>
          <w:rFonts w:ascii="Sylfaen" w:hAnsi="Sylfaen" w:cs="Sylfaen"/>
        </w:rPr>
        <w:t xml:space="preserve"> person participants also submit a CV, approved by the given person,</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gramStart"/>
      <w:r w:rsidRPr="00132C41">
        <w:rPr>
          <w:rFonts w:ascii="Sylfaen" w:hAnsi="Sylfaen" w:cs="Sylfaen"/>
        </w:rPr>
        <w:t>a</w:t>
      </w:r>
      <w:proofErr w:type="gramEnd"/>
      <w:r w:rsidRPr="00132C41">
        <w:rPr>
          <w:rFonts w:ascii="Sylfaen" w:hAnsi="Sylfaen" w:cs="Sylfaen"/>
        </w:rPr>
        <w:t xml:space="preserve"> copy of the joint activity agreement, if the participants participate in this procedure as a joint activity (consortium).</w:t>
      </w:r>
    </w:p>
    <w:p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rsidR="00132C41" w:rsidRDefault="00132C41" w:rsidP="00132C41">
      <w:pPr>
        <w:ind w:firstLine="567"/>
        <w:jc w:val="both"/>
        <w:rPr>
          <w:rFonts w:ascii="Sylfaen" w:hAnsi="Sylfaen" w:cs="Sylfaen"/>
        </w:rPr>
      </w:pPr>
      <w:r w:rsidRPr="00132C41">
        <w:rPr>
          <w:rFonts w:ascii="Sylfaen" w:hAnsi="Sylfaen" w:cs="Sylfaen"/>
        </w:rPr>
        <w:t xml:space="preserve">8. The envelope and the documents prepared by the participant under this announcement are signed by the person presenting them or the latter's authorized person (hereinafter referred to as the </w:t>
      </w:r>
      <w:r w:rsidRPr="00132C41">
        <w:rPr>
          <w:rFonts w:ascii="Sylfaen" w:hAnsi="Sylfaen" w:cs="Sylfaen"/>
        </w:rPr>
        <w:lastRenderedPageBreak/>
        <w:t>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rsidR="00132C41" w:rsidRDefault="00132C41" w:rsidP="00132C41">
      <w:pPr>
        <w:ind w:firstLine="567"/>
        <w:jc w:val="center"/>
        <w:rPr>
          <w:rFonts w:ascii="Sylfaen" w:hAnsi="Sylfaen" w:cs="Sylfaen"/>
        </w:rPr>
      </w:pPr>
    </w:p>
    <w:p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DA0F0D">
        <w:rPr>
          <w:rFonts w:ascii="Sylfaen" w:hAnsi="Sylfaen" w:cs="Sylfaen"/>
          <w:sz w:val="24"/>
          <w:szCs w:val="24"/>
          <w:lang w:val="af-ZA" w:eastAsia="en-US"/>
        </w:rPr>
        <w:t>0</w:t>
      </w:r>
      <w:r w:rsidR="007E7DC6">
        <w:rPr>
          <w:rFonts w:ascii="Sylfaen" w:hAnsi="Sylfaen" w:cs="Sylfaen"/>
          <w:sz w:val="24"/>
          <w:szCs w:val="24"/>
          <w:lang w:val="af-ZA" w:eastAsia="en-US"/>
        </w:rPr>
        <w:t>7</w:t>
      </w:r>
      <w:r w:rsidR="00C241A2">
        <w:rPr>
          <w:rFonts w:ascii="Sylfaen" w:hAnsi="Sylfaen" w:cs="Sylfaen"/>
          <w:sz w:val="24"/>
          <w:szCs w:val="24"/>
          <w:lang w:val="af-ZA" w:eastAsia="en-US"/>
        </w:rPr>
        <w:t>.1</w:t>
      </w:r>
      <w:r w:rsidR="00DA0F0D">
        <w:rPr>
          <w:rFonts w:ascii="Sylfaen" w:hAnsi="Sylfaen" w:cs="Sylfaen"/>
          <w:sz w:val="24"/>
          <w:szCs w:val="24"/>
          <w:lang w:val="af-ZA" w:eastAsia="en-US"/>
        </w:rPr>
        <w:t>1</w:t>
      </w:r>
      <w:r w:rsidRPr="00132C41">
        <w:rPr>
          <w:rFonts w:ascii="Sylfaen" w:hAnsi="Sylfaen" w:cs="Sylfaen"/>
          <w:sz w:val="24"/>
          <w:szCs w:val="24"/>
          <w:lang w:val="af-ZA" w:eastAsia="en-US"/>
        </w:rPr>
        <w:t>.202</w:t>
      </w:r>
      <w:r w:rsidR="00C241A2">
        <w:rPr>
          <w:rFonts w:ascii="Sylfaen" w:hAnsi="Sylfaen" w:cs="Sylfaen"/>
          <w:sz w:val="24"/>
          <w:szCs w:val="24"/>
          <w:lang w:val="hy-AM" w:eastAsia="en-US"/>
        </w:rPr>
        <w:t>3</w:t>
      </w:r>
      <w:r w:rsidRPr="00132C41">
        <w:rPr>
          <w:rFonts w:ascii="Sylfaen" w:hAnsi="Sylfaen" w:cs="Sylfaen"/>
          <w:sz w:val="24"/>
          <w:szCs w:val="24"/>
          <w:lang w:val="af-ZA" w:eastAsia="en-US"/>
        </w:rPr>
        <w:t>. at 12:00 p.m. Yerevan, Armenakyan 129.</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rsidR="00132C41" w:rsidRDefault="00132C41" w:rsidP="0006072E">
      <w:pPr>
        <w:pStyle w:val="a3"/>
        <w:spacing w:line="240" w:lineRule="auto"/>
        <w:jc w:val="center"/>
        <w:rPr>
          <w:rFonts w:ascii="Sylfaen" w:hAnsi="Sylfaen"/>
          <w:i w:val="0"/>
          <w:sz w:val="24"/>
          <w:szCs w:val="24"/>
          <w:lang w:val="af-ZA"/>
        </w:rPr>
      </w:pPr>
    </w:p>
    <w:p w:rsidR="00132C41" w:rsidRDefault="00132C41" w:rsidP="0006072E">
      <w:pPr>
        <w:pStyle w:val="a3"/>
        <w:spacing w:line="240" w:lineRule="auto"/>
        <w:jc w:val="center"/>
        <w:rPr>
          <w:rFonts w:ascii="Sylfaen" w:hAnsi="Sylfaen"/>
          <w:i w:val="0"/>
          <w:sz w:val="24"/>
          <w:szCs w:val="24"/>
          <w:lang w:val="af-ZA"/>
        </w:rPr>
      </w:pPr>
      <w:r w:rsidRPr="00132C41">
        <w:rPr>
          <w:rFonts w:ascii="Sylfaen" w:hAnsi="Sylfaen"/>
          <w:i w:val="0"/>
          <w:sz w:val="24"/>
          <w:szCs w:val="24"/>
          <w:lang w:val="af-ZA"/>
        </w:rPr>
        <w:t>To get additional information related to this statement, you can contact the secretary of the commission, Hovhannes Karakhanyan</w:t>
      </w:r>
    </w:p>
    <w:p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rsidR="0006072E" w:rsidRPr="00C13033" w:rsidRDefault="00132C41" w:rsidP="00C13033">
      <w:pPr>
        <w:pStyle w:val="a3"/>
        <w:spacing w:line="240" w:lineRule="auto"/>
        <w:jc w:val="center"/>
        <w:rPr>
          <w:rFonts w:ascii="GHEA Grapalat" w:hAnsi="GHEA Grapalat"/>
          <w:i w:val="0"/>
          <w:u w:val="single"/>
          <w:lang w:val="af-ZA"/>
        </w:rPr>
      </w:pPr>
      <w:r>
        <w:rPr>
          <w:rFonts w:ascii="Sylfaen" w:hAnsi="Sylfaen"/>
          <w:i w:val="0"/>
          <w:sz w:val="24"/>
          <w:szCs w:val="24"/>
          <w:lang w:val="af-ZA"/>
        </w:rPr>
        <w:t xml:space="preserve">E-mail </w:t>
      </w:r>
      <w:r w:rsidR="0006072E" w:rsidRPr="0014394D">
        <w:rPr>
          <w:rFonts w:ascii="Sylfaen" w:hAnsi="Sylfaen"/>
          <w:i w:val="0"/>
          <w:sz w:val="24"/>
          <w:szCs w:val="24"/>
          <w:lang w:val="af-ZA"/>
        </w:rPr>
        <w:t xml:space="preserve"> </w:t>
      </w:r>
      <w:hyperlink r:id="rId8" w:history="1">
        <w:r w:rsidR="00C13033" w:rsidRPr="005B054B">
          <w:rPr>
            <w:rStyle w:val="a9"/>
            <w:rFonts w:ascii="GHEA Grapalat" w:hAnsi="GHEA Grapalat"/>
            <w:i w:val="0"/>
            <w:lang w:val="af-ZA"/>
          </w:rPr>
          <w:t>janna.dadiyan@env.am</w:t>
        </w:r>
      </w:hyperlink>
      <w:r w:rsidR="00C13033">
        <w:rPr>
          <w:rFonts w:ascii="GHEA Grapalat" w:hAnsi="GHEA Grapalat"/>
          <w:i w:val="0"/>
          <w:lang w:val="af-ZA"/>
        </w:rPr>
        <w:t xml:space="preserve"> </w:t>
      </w:r>
      <w:hyperlink r:id="rId9" w:history="1"/>
    </w:p>
    <w:p w:rsidR="0006072E" w:rsidRPr="0014394D" w:rsidRDefault="0006072E" w:rsidP="0006072E">
      <w:pPr>
        <w:pStyle w:val="a3"/>
        <w:spacing w:line="240" w:lineRule="auto"/>
        <w:jc w:val="center"/>
        <w:rPr>
          <w:rFonts w:ascii="Sylfaen" w:hAnsi="Sylfaen"/>
          <w:i w:val="0"/>
          <w:sz w:val="24"/>
          <w:szCs w:val="24"/>
          <w:u w:val="single"/>
          <w:lang w:val="af-ZA"/>
        </w:rPr>
      </w:pPr>
    </w:p>
    <w:p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7E7DC6" w:rsidRDefault="007E7DC6"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8A669C">
      <w:pPr>
        <w:pStyle w:val="norm"/>
        <w:spacing w:line="240" w:lineRule="auto"/>
        <w:ind w:firstLine="0"/>
        <w:rPr>
          <w:rFonts w:ascii="Sylfaen" w:hAnsi="Sylfaen"/>
          <w:sz w:val="24"/>
          <w:szCs w:val="24"/>
          <w:lang w:val="af-ZA" w:eastAsia="en-US"/>
        </w:rPr>
      </w:pP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1</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code </w:t>
      </w:r>
      <w:r w:rsidR="007E7DC6">
        <w:rPr>
          <w:rFonts w:ascii="Sylfaen" w:hAnsi="Sylfaen" w:cs="Sylfaen"/>
          <w:lang w:val="es-ES" w:eastAsia="ru-RU"/>
        </w:rPr>
        <w:t>HH-BC-A-BMXCDZB-23/138</w:t>
      </w:r>
    </w:p>
    <w:p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rsidR="00C241A2" w:rsidRDefault="00C241A2" w:rsidP="008A669C">
      <w:pPr>
        <w:jc w:val="center"/>
        <w:rPr>
          <w:rFonts w:ascii="Sylfaen" w:hAnsi="Sylfaen" w:cs="Sylfaen"/>
          <w:b/>
          <w:sz w:val="28"/>
          <w:lang w:val="es-ES"/>
        </w:rPr>
      </w:pPr>
    </w:p>
    <w:p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rsidR="008A669C" w:rsidRPr="008A669C" w:rsidRDefault="008A669C" w:rsidP="008A669C">
      <w:pPr>
        <w:jc w:val="center"/>
        <w:rPr>
          <w:rFonts w:ascii="Sylfaen" w:hAnsi="Sylfaen"/>
          <w:sz w:val="28"/>
          <w:lang w:val="es-ES" w:eastAsia="ru-RU"/>
        </w:rPr>
      </w:pPr>
    </w:p>
    <w:p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an application in accordance with the pre-qualification procedure of the open tender under the code </w:t>
      </w:r>
      <w:r w:rsidR="007E7DC6">
        <w:rPr>
          <w:rFonts w:ascii="Sylfaen" w:hAnsi="Sylfaen" w:cs="Sylfaen"/>
          <w:lang w:val="es-ES"/>
        </w:rPr>
        <w:t>HH-BC-A-BMXCDZB-23/138</w:t>
      </w:r>
      <w:r w:rsidRPr="008A669C">
        <w:rPr>
          <w:rFonts w:ascii="Sylfaen" w:hAnsi="Sylfaen" w:cs="Sylfaen"/>
          <w:lang w:val="es-ES"/>
        </w:rPr>
        <w:t xml:space="preserve"> and the requirements of the pre-qualification statement.</w:t>
      </w:r>
    </w:p>
    <w:p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rsidR="00CE5FA8" w:rsidRPr="0014394D" w:rsidRDefault="00CE5FA8" w:rsidP="00CE5FA8">
      <w:pPr>
        <w:jc w:val="both"/>
        <w:rPr>
          <w:rFonts w:ascii="Sylfaen" w:hAnsi="Sylfaen" w:cs="Arial"/>
          <w:vertAlign w:val="superscript"/>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both"/>
        <w:rPr>
          <w:rFonts w:ascii="Sylfaen" w:hAnsi="Sylfaen"/>
          <w:lang w:val="es-ES"/>
        </w:rPr>
      </w:pPr>
      <w:r w:rsidRPr="0014394D">
        <w:rPr>
          <w:rFonts w:ascii="Sylfaen" w:hAnsi="Sylfaen"/>
          <w:lang w:val="es-ES"/>
        </w:rPr>
        <w:t xml:space="preserve">               </w:t>
      </w:r>
    </w:p>
    <w:p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proofErr w:type="gramStart"/>
      <w:r w:rsidR="008A669C">
        <w:rPr>
          <w:rFonts w:ascii="Sylfaen" w:hAnsi="Sylfaen" w:cs="Sylfaen"/>
        </w:rPr>
        <w:t>telephone</w:t>
      </w:r>
      <w:proofErr w:type="gramEnd"/>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rsidR="00293151" w:rsidRPr="0014394D" w:rsidRDefault="00293151" w:rsidP="00293151">
      <w:pPr>
        <w:jc w:val="right"/>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rsidR="00CE5FA8" w:rsidRPr="0014394D" w:rsidRDefault="00CE5FA8" w:rsidP="00CE5FA8">
      <w:pPr>
        <w:jc w:val="both"/>
        <w:rPr>
          <w:rFonts w:ascii="Sylfaen" w:hAnsi="Sylfaen"/>
          <w:lang w:val="hy-AM"/>
        </w:rPr>
      </w:pPr>
      <w:r w:rsidRPr="0014394D">
        <w:rPr>
          <w:rFonts w:ascii="Sylfaen" w:hAnsi="Sylfaen"/>
          <w:lang w:val="hy-AM"/>
        </w:rPr>
        <w:t xml:space="preserve">    </w:t>
      </w:r>
    </w:p>
    <w:p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under the code </w:t>
      </w:r>
      <w:r w:rsidR="007E7DC6">
        <w:rPr>
          <w:rFonts w:ascii="Sylfaen" w:hAnsi="Sylfaen" w:cs="Sylfaen"/>
          <w:lang w:val="es-ES" w:eastAsia="ru-RU"/>
        </w:rPr>
        <w:t>HH-BC-A-BMXCDZB-23/138</w:t>
      </w:r>
    </w:p>
    <w:p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rsidR="004C6333" w:rsidRPr="0014394D" w:rsidRDefault="004C6333" w:rsidP="004C6333">
      <w:pPr>
        <w:jc w:val="center"/>
        <w:rPr>
          <w:rFonts w:ascii="Sylfaen" w:hAnsi="Sylfaen" w:cs="Sylfaen"/>
          <w:b/>
          <w:lang w:val="hy-AM"/>
        </w:rPr>
      </w:pPr>
    </w:p>
    <w:p w:rsidR="00CE5FA8" w:rsidRPr="0014394D" w:rsidRDefault="00CE5FA8" w:rsidP="00CE5FA8">
      <w:pPr>
        <w:pStyle w:val="31"/>
        <w:spacing w:line="240" w:lineRule="auto"/>
        <w:jc w:val="right"/>
        <w:rPr>
          <w:rFonts w:ascii="Sylfaen" w:hAnsi="Sylfaen" w:cs="Arial"/>
          <w:sz w:val="24"/>
          <w:szCs w:val="24"/>
          <w:lang w:val="es-ES"/>
        </w:rPr>
      </w:pPr>
    </w:p>
    <w:p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rsidR="008A669C" w:rsidRPr="0014394D" w:rsidRDefault="008A669C" w:rsidP="008A669C">
      <w:pPr>
        <w:ind w:left="709" w:firstLine="11"/>
        <w:jc w:val="center"/>
        <w:rPr>
          <w:rFonts w:ascii="Sylfaen" w:hAnsi="Sylfaen"/>
          <w:lang w:val="hy-AM"/>
        </w:rPr>
      </w:pPr>
    </w:p>
    <w:p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rsidTr="00760677">
        <w:trPr>
          <w:trHeight w:val="249"/>
        </w:trPr>
        <w:tc>
          <w:tcPr>
            <w:tcW w:w="10553" w:type="dxa"/>
            <w:gridSpan w:val="6"/>
          </w:tcPr>
          <w:p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rsidTr="00760677">
        <w:trPr>
          <w:trHeight w:val="249"/>
        </w:trPr>
        <w:tc>
          <w:tcPr>
            <w:tcW w:w="819" w:type="dxa"/>
          </w:tcPr>
          <w:p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rsidR="00760677" w:rsidRPr="008A669C" w:rsidRDefault="008A669C" w:rsidP="005A793B">
            <w:pPr>
              <w:jc w:val="center"/>
              <w:rPr>
                <w:rFonts w:ascii="Sylfaen" w:hAnsi="Sylfaen" w:cs="Arial Armenian"/>
              </w:rPr>
            </w:pPr>
            <w:r>
              <w:rPr>
                <w:rFonts w:ascii="Sylfaen" w:hAnsi="Sylfaen" w:cs="Sylfaen"/>
              </w:rPr>
              <w:t>Year</w:t>
            </w:r>
          </w:p>
        </w:tc>
        <w:tc>
          <w:tcPr>
            <w:tcW w:w="1159" w:type="dxa"/>
          </w:tcPr>
          <w:p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rsidR="00760677" w:rsidRPr="0014394D" w:rsidRDefault="00760677" w:rsidP="005A793B">
            <w:pPr>
              <w:jc w:val="center"/>
              <w:rPr>
                <w:rFonts w:ascii="Sylfaen" w:hAnsi="Sylfaen" w:cs="Sylfaen"/>
              </w:rPr>
            </w:pPr>
          </w:p>
        </w:tc>
        <w:tc>
          <w:tcPr>
            <w:tcW w:w="1159" w:type="dxa"/>
          </w:tcPr>
          <w:p w:rsidR="00760677" w:rsidRPr="0014394D" w:rsidRDefault="00760677" w:rsidP="00275703">
            <w:pPr>
              <w:jc w:val="center"/>
              <w:rPr>
                <w:rFonts w:ascii="Sylfaen" w:hAnsi="Sylfaen" w:cs="Sylfaen"/>
              </w:rPr>
            </w:pPr>
          </w:p>
        </w:tc>
        <w:tc>
          <w:tcPr>
            <w:tcW w:w="1361" w:type="dxa"/>
          </w:tcPr>
          <w:p w:rsidR="00760677" w:rsidRPr="0014394D" w:rsidRDefault="00760677" w:rsidP="00275703">
            <w:pPr>
              <w:jc w:val="center"/>
              <w:rPr>
                <w:rFonts w:ascii="Sylfaen" w:hAnsi="Sylfaen" w:cs="Sylfaen"/>
              </w:rPr>
            </w:pPr>
          </w:p>
        </w:tc>
        <w:tc>
          <w:tcPr>
            <w:tcW w:w="2525" w:type="dxa"/>
          </w:tcPr>
          <w:p w:rsidR="00760677" w:rsidRPr="0014394D" w:rsidRDefault="00760677" w:rsidP="00275703">
            <w:pPr>
              <w:jc w:val="center"/>
              <w:rPr>
                <w:rFonts w:ascii="Sylfaen" w:hAnsi="Sylfaen" w:cs="Sylfaen"/>
              </w:rPr>
            </w:pPr>
          </w:p>
        </w:tc>
        <w:tc>
          <w:tcPr>
            <w:tcW w:w="3420" w:type="dxa"/>
          </w:tcPr>
          <w:p w:rsidR="00760677" w:rsidRPr="0014394D" w:rsidRDefault="00760677" w:rsidP="00275703">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bl>
    <w:p w:rsidR="00CE5FA8" w:rsidRPr="0014394D" w:rsidRDefault="00CE5FA8" w:rsidP="00CE5FA8">
      <w:pPr>
        <w:ind w:firstLine="720"/>
        <w:jc w:val="center"/>
        <w:rPr>
          <w:rFonts w:ascii="Sylfaen" w:hAnsi="Sylfaen" w:cs="Sylfaen"/>
        </w:rPr>
      </w:pPr>
    </w:p>
    <w:p w:rsidR="00CE5FA8" w:rsidRPr="0014394D" w:rsidRDefault="008A669C" w:rsidP="00CE5FA8">
      <w:pPr>
        <w:jc w:val="both"/>
        <w:rPr>
          <w:rFonts w:ascii="Sylfaen" w:hAnsi="Sylfaen"/>
          <w:lang w:val="es-ES"/>
        </w:rPr>
      </w:pPr>
      <w:r w:rsidRPr="008A669C">
        <w:rPr>
          <w:rFonts w:ascii="Sylfaen" w:hAnsi="Sylfaen" w:cs="Sylfaen"/>
          <w:lang w:val="hy-AM"/>
        </w:rPr>
        <w:t xml:space="preserve">Hereby, ___________________ declares and certifies that it meets the qualification standards of the organization's experience defined by the pre-qualification statement under the code </w:t>
      </w:r>
      <w:r w:rsidR="007E7DC6">
        <w:rPr>
          <w:rFonts w:ascii="Sylfaen" w:hAnsi="Sylfaen" w:cs="Sylfaen"/>
          <w:lang w:val="hy-AM"/>
        </w:rPr>
        <w:t>HH-BC-A-BMXCDZB-23/138</w:t>
      </w:r>
      <w:r w:rsidRPr="008A669C">
        <w:rPr>
          <w:rFonts w:ascii="Sylfaen" w:hAnsi="Sylfaen" w:cs="Sylfaen"/>
          <w:lang w:val="hy-AM"/>
        </w:rPr>
        <w:t xml:space="preserve"> and is ready to submit the documents justifying the above qualification within the specified period of time upon request.</w:t>
      </w:r>
    </w:p>
    <w:p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rsidR="00CE5FA8" w:rsidRPr="0014394D" w:rsidRDefault="00CE5FA8" w:rsidP="00CE5FA8">
      <w:pPr>
        <w:jc w:val="both"/>
        <w:rPr>
          <w:rFonts w:ascii="Sylfaen" w:hAnsi="Sylfaen" w:cs="Arial"/>
          <w:vertAlign w:val="superscript"/>
          <w:lang w:val="es-ES"/>
        </w:rPr>
      </w:pPr>
    </w:p>
    <w:p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aa"/>
        <w:spacing w:after="0"/>
        <w:ind w:firstLine="567"/>
        <w:jc w:val="right"/>
        <w:rPr>
          <w:rFonts w:ascii="Sylfaen" w:hAnsi="Sylfaen" w:cs="Sylfaen"/>
          <w:lang w:val="hy-AM"/>
        </w:rPr>
      </w:pPr>
    </w:p>
    <w:p w:rsidR="0040257D" w:rsidRPr="0014394D" w:rsidRDefault="0040257D" w:rsidP="00303055">
      <w:pPr>
        <w:pStyle w:val="a3"/>
        <w:spacing w:line="240" w:lineRule="auto"/>
        <w:ind w:right="565" w:firstLine="0"/>
        <w:rPr>
          <w:rFonts w:ascii="Sylfaen" w:hAnsi="Sylfaen"/>
          <w:i w:val="0"/>
          <w:sz w:val="24"/>
          <w:szCs w:val="24"/>
          <w:lang w:val="hy-AM"/>
        </w:rPr>
      </w:pPr>
    </w:p>
    <w:p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774" w:rsidRDefault="00F45774">
      <w:r>
        <w:separator/>
      </w:r>
    </w:p>
  </w:endnote>
  <w:endnote w:type="continuationSeparator" w:id="0">
    <w:p w:rsidR="00F45774" w:rsidRDefault="00F4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namu">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774" w:rsidRDefault="00F45774">
      <w:r>
        <w:separator/>
      </w:r>
    </w:p>
  </w:footnote>
  <w:footnote w:type="continuationSeparator" w:id="0">
    <w:p w:rsidR="00F45774" w:rsidRDefault="00F45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7BF6"/>
    <w:multiLevelType w:val="hybridMultilevel"/>
    <w:tmpl w:val="64B8627A"/>
    <w:lvl w:ilvl="0" w:tplc="E934259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5472AAF"/>
    <w:multiLevelType w:val="hybridMultilevel"/>
    <w:tmpl w:val="486E2B9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325A16"/>
    <w:multiLevelType w:val="hybridMultilevel"/>
    <w:tmpl w:val="A0186A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B06D26"/>
    <w:multiLevelType w:val="hybridMultilevel"/>
    <w:tmpl w:val="58ECEE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5">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6">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6036CE9"/>
    <w:multiLevelType w:val="hybridMultilevel"/>
    <w:tmpl w:val="BDE2FAA4"/>
    <w:lvl w:ilvl="0" w:tplc="054EBDB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5">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4"/>
  </w:num>
  <w:num w:numId="4">
    <w:abstractNumId w:val="25"/>
  </w:num>
  <w:num w:numId="5">
    <w:abstractNumId w:val="12"/>
  </w:num>
  <w:num w:numId="6">
    <w:abstractNumId w:val="23"/>
  </w:num>
  <w:num w:numId="7">
    <w:abstractNumId w:val="1"/>
  </w:num>
  <w:num w:numId="8">
    <w:abstractNumId w:val="16"/>
  </w:num>
  <w:num w:numId="9">
    <w:abstractNumId w:val="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num>
  <w:num w:numId="13">
    <w:abstractNumId w:val="9"/>
  </w:num>
  <w:num w:numId="14">
    <w:abstractNumId w:val="24"/>
  </w:num>
  <w:num w:numId="15">
    <w:abstractNumId w:val="22"/>
  </w:num>
  <w:num w:numId="16">
    <w:abstractNumId w:val="11"/>
  </w:num>
  <w:num w:numId="17">
    <w:abstractNumId w:val="15"/>
  </w:num>
  <w:num w:numId="18">
    <w:abstractNumId w:val="18"/>
  </w:num>
  <w:num w:numId="19">
    <w:abstractNumId w:val="13"/>
  </w:num>
  <w:num w:numId="20">
    <w:abstractNumId w:val="20"/>
  </w:num>
  <w:num w:numId="21">
    <w:abstractNumId w:val="3"/>
  </w:num>
  <w:num w:numId="22">
    <w:abstractNumId w:val="6"/>
  </w:num>
  <w:num w:numId="23">
    <w:abstractNumId w:val="2"/>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5"/>
  </w:num>
  <w:num w:numId="27">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49D"/>
    <w:rsid w:val="00192C41"/>
    <w:rsid w:val="00193C0C"/>
    <w:rsid w:val="00197853"/>
    <w:rsid w:val="001A529B"/>
    <w:rsid w:val="001B1227"/>
    <w:rsid w:val="001B35BA"/>
    <w:rsid w:val="001B6633"/>
    <w:rsid w:val="001C7FC0"/>
    <w:rsid w:val="001D1533"/>
    <w:rsid w:val="001D4978"/>
    <w:rsid w:val="001D58E1"/>
    <w:rsid w:val="001D6A7A"/>
    <w:rsid w:val="001E4680"/>
    <w:rsid w:val="001F09EA"/>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0599"/>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5286"/>
    <w:rsid w:val="007C541B"/>
    <w:rsid w:val="007D01C0"/>
    <w:rsid w:val="007D40F8"/>
    <w:rsid w:val="007D425D"/>
    <w:rsid w:val="007D5C32"/>
    <w:rsid w:val="007D73A0"/>
    <w:rsid w:val="007E2999"/>
    <w:rsid w:val="007E29EF"/>
    <w:rsid w:val="007E7DC6"/>
    <w:rsid w:val="007F241A"/>
    <w:rsid w:val="007F5B37"/>
    <w:rsid w:val="007F5F30"/>
    <w:rsid w:val="00806AC0"/>
    <w:rsid w:val="00820E36"/>
    <w:rsid w:val="00821710"/>
    <w:rsid w:val="00823100"/>
    <w:rsid w:val="00824891"/>
    <w:rsid w:val="008273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D41C0"/>
    <w:rsid w:val="008D6A6F"/>
    <w:rsid w:val="008D7139"/>
    <w:rsid w:val="008E0981"/>
    <w:rsid w:val="008E39D0"/>
    <w:rsid w:val="008E3CCA"/>
    <w:rsid w:val="008E3F81"/>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22259"/>
    <w:rsid w:val="00B27AE5"/>
    <w:rsid w:val="00B30809"/>
    <w:rsid w:val="00B4069F"/>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033"/>
    <w:rsid w:val="00C13A9F"/>
    <w:rsid w:val="00C1420F"/>
    <w:rsid w:val="00C17325"/>
    <w:rsid w:val="00C241A2"/>
    <w:rsid w:val="00C27620"/>
    <w:rsid w:val="00C32E54"/>
    <w:rsid w:val="00C3613F"/>
    <w:rsid w:val="00C4326B"/>
    <w:rsid w:val="00C44276"/>
    <w:rsid w:val="00C467FD"/>
    <w:rsid w:val="00C55620"/>
    <w:rsid w:val="00C61AC2"/>
    <w:rsid w:val="00C66F6E"/>
    <w:rsid w:val="00C73B1D"/>
    <w:rsid w:val="00C73BA3"/>
    <w:rsid w:val="00C7565C"/>
    <w:rsid w:val="00C76FB9"/>
    <w:rsid w:val="00C8733A"/>
    <w:rsid w:val="00C90846"/>
    <w:rsid w:val="00C9357E"/>
    <w:rsid w:val="00C9391D"/>
    <w:rsid w:val="00C963BF"/>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7090"/>
    <w:rsid w:val="00D515C5"/>
    <w:rsid w:val="00D51DFE"/>
    <w:rsid w:val="00D529AA"/>
    <w:rsid w:val="00D6419C"/>
    <w:rsid w:val="00D679AB"/>
    <w:rsid w:val="00D71292"/>
    <w:rsid w:val="00D76F57"/>
    <w:rsid w:val="00D83614"/>
    <w:rsid w:val="00D93884"/>
    <w:rsid w:val="00DA0F0D"/>
    <w:rsid w:val="00DA5232"/>
    <w:rsid w:val="00DA5A54"/>
    <w:rsid w:val="00DB3FA5"/>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2A4F"/>
    <w:rsid w:val="00F058B9"/>
    <w:rsid w:val="00F1113D"/>
    <w:rsid w:val="00F134D2"/>
    <w:rsid w:val="00F20F07"/>
    <w:rsid w:val="00F22DAA"/>
    <w:rsid w:val="00F26EAD"/>
    <w:rsid w:val="00F3669D"/>
    <w:rsid w:val="00F42D51"/>
    <w:rsid w:val="00F45774"/>
    <w:rsid w:val="00F47FAA"/>
    <w:rsid w:val="00F63BBA"/>
    <w:rsid w:val="00F7125A"/>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Название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a.dadiyan@en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6B2E-E2A0-4651-8309-79C58DCC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3459</Words>
  <Characters>19721</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Учетная запись Майкрософт</cp:lastModifiedBy>
  <cp:revision>6</cp:revision>
  <cp:lastPrinted>2017-12-22T05:37:00Z</cp:lastPrinted>
  <dcterms:created xsi:type="dcterms:W3CDTF">2023-09-29T11:00:00Z</dcterms:created>
  <dcterms:modified xsi:type="dcterms:W3CDTF">2023-10-31T12:52:00Z</dcterms:modified>
</cp:coreProperties>
</file>